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w:t>
      </w:r>
      <w:bookmarkStart w:id="0" w:name="_GoBack"/>
      <w:r>
        <w:rPr>
          <w:rFonts w:hint="default" w:ascii="Times New Roman" w:hAnsi="Times New Roman" w:eastAsia="方正小标宋简体" w:cs="Times New Roman"/>
          <w:color w:val="auto"/>
          <w:sz w:val="44"/>
          <w:szCs w:val="44"/>
          <w:lang w:val="en-US" w:eastAsia="zh-CN"/>
        </w:rPr>
        <w:t>自治区城市道路占用费挖掘修复费</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管理办法（</w:t>
      </w:r>
      <w:r>
        <w:rPr>
          <w:rFonts w:hint="eastAsia" w:eastAsia="方正小标宋简体" w:cs="Times New Roman"/>
          <w:color w:val="auto"/>
          <w:sz w:val="44"/>
          <w:szCs w:val="44"/>
          <w:lang w:val="en-US" w:eastAsia="zh-CN"/>
        </w:rPr>
        <w:t>试行</w:t>
      </w:r>
      <w:r>
        <w:rPr>
          <w:rFonts w:hint="default" w:ascii="Times New Roman" w:hAnsi="Times New Roman" w:eastAsia="方正小标宋简体" w:cs="Times New Roman"/>
          <w:color w:val="auto"/>
          <w:sz w:val="44"/>
          <w:szCs w:val="44"/>
          <w:lang w:val="en-US" w:eastAsia="zh-CN"/>
        </w:rPr>
        <w:t>）</w:t>
      </w:r>
      <w:bookmarkEnd w:id="0"/>
      <w:r>
        <w:rPr>
          <w:rFonts w:hint="default" w:ascii="Times New Roman" w:hAnsi="Times New Roman" w:eastAsia="方正小标宋简体" w:cs="Times New Roman"/>
          <w:color w:val="auto"/>
          <w:sz w:val="44"/>
          <w:szCs w:val="44"/>
          <w:lang w:val="en-US" w:eastAsia="zh-CN"/>
        </w:rPr>
        <w:t>》</w:t>
      </w:r>
    </w:p>
    <w:p>
      <w:pPr>
        <w:keepNext w:val="0"/>
        <w:keepLines w:val="0"/>
        <w:pageBreakBefore w:val="0"/>
        <w:kinsoku/>
        <w:wordWrap/>
        <w:overflowPunct/>
        <w:topLinePunct w:val="0"/>
        <w:autoSpaceDE/>
        <w:autoSpaceDN/>
        <w:bidi w:val="0"/>
        <w:adjustRightInd/>
        <w:snapToGrid/>
        <w:spacing w:line="574" w:lineRule="exact"/>
        <w:ind w:firstLine="643" w:firstLineChars="200"/>
        <w:rPr>
          <w:rFonts w:hint="default" w:ascii="Times New Roman" w:hAnsi="Times New Roman" w:eastAsia="黑体" w:cs="Times New Roman"/>
          <w:b/>
          <w:bCs/>
          <w:color w:val="auto"/>
          <w:sz w:val="32"/>
          <w:szCs w:val="32"/>
        </w:rPr>
      </w:pPr>
    </w:p>
    <w:p>
      <w:pPr>
        <w:keepNext w:val="0"/>
        <w:keepLines w:val="0"/>
        <w:pageBreakBefore w:val="0"/>
        <w:kinsoku/>
        <w:wordWrap/>
        <w:overflowPunct/>
        <w:topLinePunct w:val="0"/>
        <w:autoSpaceDE/>
        <w:autoSpaceDN/>
        <w:bidi w:val="0"/>
        <w:adjustRightInd/>
        <w:snapToGrid/>
        <w:spacing w:line="574"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rPr>
        <w:t>第一条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为严格控制占用、挖掘城市道路，保障城市道路的安全畅通和市容环境整洁，加强我区城市道路占用费、挖掘修复费的管理，规范收费行为，根据国务院《城市道路管理条例》，制定本办法。</w:t>
      </w:r>
    </w:p>
    <w:p>
      <w:pPr>
        <w:keepNext w:val="0"/>
        <w:keepLines w:val="0"/>
        <w:pageBreakBefore w:val="0"/>
        <w:kinsoku/>
        <w:wordWrap/>
        <w:overflowPunct/>
        <w:topLinePunct w:val="0"/>
        <w:autoSpaceDE/>
        <w:autoSpaceDN/>
        <w:bidi w:val="0"/>
        <w:adjustRightInd/>
        <w:snapToGrid/>
        <w:spacing w:line="574"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sz w:val="32"/>
          <w:szCs w:val="32"/>
        </w:rPr>
        <w:t>第二条</w:t>
      </w:r>
      <w:r>
        <w:rPr>
          <w:rFonts w:hint="default" w:ascii="Times New Roman" w:hAnsi="Times New Roman" w:eastAsia="仿宋_GB2312" w:cs="Times New Roman"/>
          <w:color w:val="auto"/>
          <w:sz w:val="32"/>
          <w:szCs w:val="32"/>
        </w:rPr>
        <w:t xml:space="preserve">  本办法所称城市道路是指</w:t>
      </w:r>
      <w:r>
        <w:rPr>
          <w:rFonts w:hint="default" w:ascii="Times New Roman" w:hAnsi="Times New Roman" w:eastAsia="仿宋_GB2312" w:cs="Times New Roman"/>
          <w:color w:val="auto"/>
          <w:sz w:val="32"/>
          <w:szCs w:val="32"/>
          <w:lang w:eastAsia="zh-CN"/>
        </w:rPr>
        <w:t>中心城区</w:t>
      </w:r>
      <w:r>
        <w:rPr>
          <w:rFonts w:hint="default" w:ascii="Times New Roman" w:hAnsi="Times New Roman" w:eastAsia="仿宋_GB2312" w:cs="Times New Roman"/>
          <w:color w:val="auto"/>
          <w:sz w:val="32"/>
          <w:szCs w:val="32"/>
        </w:rPr>
        <w:t>范围内供车辆、行人通行的，具备一定技术条件的道路、桥梁及其附属设施。凡在</w:t>
      </w:r>
      <w:r>
        <w:rPr>
          <w:rFonts w:hint="default" w:ascii="Times New Roman" w:hAnsi="Times New Roman" w:eastAsia="仿宋_GB2312" w:cs="Times New Roman"/>
          <w:color w:val="auto"/>
          <w:sz w:val="32"/>
          <w:szCs w:val="32"/>
          <w:lang w:val="en-US" w:eastAsia="zh-CN"/>
        </w:rPr>
        <w:t>城市道路红线</w:t>
      </w:r>
      <w:r>
        <w:rPr>
          <w:rFonts w:hint="default" w:ascii="Times New Roman" w:hAnsi="Times New Roman" w:eastAsia="仿宋_GB2312" w:cs="Times New Roman"/>
          <w:color w:val="auto"/>
          <w:sz w:val="32"/>
          <w:szCs w:val="32"/>
        </w:rPr>
        <w:t xml:space="preserve">范围内占用、挖掘城市道路的单位和个人，必须遵守本办法。 </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第三条</w:t>
      </w:r>
      <w:r>
        <w:rPr>
          <w:rFonts w:hint="default" w:ascii="Times New Roman" w:hAnsi="Times New Roman" w:eastAsia="仿宋_GB2312" w:cs="Times New Roman"/>
          <w:color w:val="auto"/>
          <w:sz w:val="32"/>
          <w:szCs w:val="32"/>
          <w:lang w:eastAsia="zh-CN"/>
        </w:rPr>
        <w:t xml:space="preserve"> </w:t>
      </w:r>
      <w:r>
        <w:rPr>
          <w:rFonts w:hint="default"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县级以上城市人民政府市政工程行政主管部门</w:t>
      </w:r>
      <w:r>
        <w:rPr>
          <w:rFonts w:hint="eastAsia" w:ascii="Times New Roman" w:hAnsi="Times New Roman" w:eastAsia="仿宋_GB2312" w:cs="Times New Roman"/>
          <w:color w:val="auto"/>
          <w:sz w:val="32"/>
          <w:szCs w:val="32"/>
          <w:lang w:val="en-US" w:eastAsia="zh-CN"/>
        </w:rPr>
        <w:t>负责所辖中心城区内的</w:t>
      </w:r>
      <w:r>
        <w:rPr>
          <w:rFonts w:hint="default" w:ascii="Times New Roman" w:hAnsi="Times New Roman" w:eastAsia="仿宋_GB2312" w:cs="Times New Roman"/>
          <w:color w:val="auto"/>
          <w:sz w:val="32"/>
          <w:szCs w:val="32"/>
          <w:lang w:eastAsia="zh-CN"/>
        </w:rPr>
        <w:t>城市道路管理工作，负责</w:t>
      </w:r>
      <w:r>
        <w:rPr>
          <w:rFonts w:hint="eastAsia" w:ascii="Times New Roman" w:hAnsi="Times New Roman" w:eastAsia="仿宋_GB2312" w:cs="Times New Roman"/>
          <w:color w:val="auto"/>
          <w:sz w:val="32"/>
          <w:szCs w:val="32"/>
          <w:lang w:val="en-US" w:eastAsia="zh-CN"/>
        </w:rPr>
        <w:t>所辖中心城区内</w:t>
      </w:r>
      <w:r>
        <w:rPr>
          <w:rFonts w:hint="default" w:ascii="Times New Roman" w:hAnsi="Times New Roman" w:eastAsia="仿宋_GB2312" w:cs="Times New Roman"/>
          <w:color w:val="auto"/>
          <w:sz w:val="32"/>
          <w:szCs w:val="32"/>
          <w:lang w:eastAsia="zh-CN"/>
        </w:rPr>
        <w:t>城市道路占用费、挖掘修复费的收取。</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第四条</w:t>
      </w:r>
      <w:r>
        <w:rPr>
          <w:rFonts w:hint="default" w:ascii="Times New Roman" w:hAnsi="Times New Roman" w:eastAsia="仿宋_GB2312" w:cs="Times New Roman"/>
          <w:b/>
          <w:bCs/>
          <w:color w:val="auto"/>
          <w:kern w:val="2"/>
          <w:sz w:val="32"/>
          <w:szCs w:val="32"/>
          <w:lang w:val="en-US" w:eastAsia="zh-CN" w:bidi="ar-SA"/>
        </w:rPr>
        <w:t xml:space="preserve"> </w:t>
      </w:r>
      <w:r>
        <w:rPr>
          <w:rFonts w:hint="default" w:cs="Times New Roman"/>
          <w:b/>
          <w:bCs/>
          <w:color w:val="auto"/>
          <w:kern w:val="2"/>
          <w:sz w:val="32"/>
          <w:szCs w:val="32"/>
          <w:lang w:val="en-US" w:eastAsia="zh-CN" w:bidi="ar-SA"/>
        </w:rPr>
        <w:t xml:space="preserve"> </w:t>
      </w:r>
      <w:r>
        <w:rPr>
          <w:rFonts w:hint="default" w:ascii="Times New Roman" w:hAnsi="Times New Roman" w:eastAsia="仿宋_GB2312" w:cs="Times New Roman"/>
          <w:color w:val="auto"/>
          <w:sz w:val="32"/>
          <w:szCs w:val="32"/>
          <w:lang w:val="en-US" w:eastAsia="zh-CN"/>
        </w:rPr>
        <w:t>任何单位和个人禁止擅自占用、挖掘城市道路。</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因特殊情况需要临时占用城市道路的单位和个人，须经市政工程行政主管部门批准，方可按照规定占用，并交纳城市道路占用费；影响交通安全的，还应征得公安机关交通管理部门的同意。</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因工程建设需要挖掘城市道路的单位和个人，应当提交建设工程规划许可文件（符合自治区建设工程规划许可豁免清单项目除外），经市政工程行政主管部门批准，方可按照规定挖掘；</w:t>
      </w:r>
      <w:r>
        <w:rPr>
          <w:rFonts w:hint="default" w:ascii="仿宋_GB2312" w:hAnsi="仿宋_GB2312" w:eastAsia="仿宋_GB2312" w:cs="仿宋_GB2312"/>
          <w:color w:val="auto"/>
          <w:sz w:val="32"/>
          <w:szCs w:val="32"/>
          <w:lang w:val="en-US" w:eastAsia="zh-CN"/>
        </w:rPr>
        <w:t>影响交通安全的，还应当征得公安机关交通管理部门的同意。</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挖掘道路或</w:t>
      </w:r>
      <w:r>
        <w:rPr>
          <w:rFonts w:hint="default" w:ascii="仿宋_GB2312" w:hAnsi="仿宋_GB2312" w:eastAsia="仿宋_GB2312" w:cs="仿宋_GB2312"/>
          <w:color w:val="auto"/>
          <w:sz w:val="32"/>
          <w:szCs w:val="32"/>
          <w:lang w:val="en-US" w:eastAsia="zh-CN"/>
        </w:rPr>
        <w:t>任何损坏城市道路的单位和个人，必须按规定的质量标准和时限及时予以修复，</w:t>
      </w:r>
      <w:r>
        <w:rPr>
          <w:rFonts w:hint="eastAsia" w:ascii="仿宋_GB2312" w:hAnsi="仿宋_GB2312" w:eastAsia="仿宋_GB2312" w:cs="仿宋_GB2312"/>
          <w:color w:val="auto"/>
          <w:sz w:val="32"/>
          <w:szCs w:val="32"/>
          <w:lang w:val="en-US" w:eastAsia="zh-CN"/>
        </w:rPr>
        <w:t>市政工程行政主管部门要负责指导、监督、验收，确保工程质量</w:t>
      </w:r>
      <w:r>
        <w:rPr>
          <w:rFonts w:hint="eastAsia" w:ascii="仿宋_GB2312" w:hAnsi="仿宋_GB2312" w:cs="仿宋_GB2312"/>
          <w:color w:val="auto"/>
          <w:sz w:val="32"/>
          <w:szCs w:val="32"/>
          <w:lang w:val="en-US" w:eastAsia="zh-CN"/>
        </w:rPr>
        <w:t>合格</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不能及时修复或没有修复能力的要按损坏程度和挖掘修复收费标准交纳挖掘修复费。</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市政工程施工、养护维修作业和经城市人民政府批准占用道路建立的集贸市场以及企业厂区内自用道路不属于本办法收费范围。</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eastAsia" w:ascii="仿宋_GB2312" w:hAnsi="仿宋_GB2312" w:eastAsia="仿宋_GB2312" w:cs="仿宋_GB2312"/>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第五条</w:t>
      </w:r>
      <w:r>
        <w:rPr>
          <w:rFonts w:hint="default" w:ascii="Times New Roman" w:hAnsi="Times New Roman" w:eastAsia="仿宋_GB2312" w:cs="Times New Roman"/>
          <w:color w:val="auto"/>
          <w:kern w:val="2"/>
          <w:sz w:val="32"/>
          <w:szCs w:val="32"/>
          <w:lang w:val="en-US" w:eastAsia="zh-CN" w:bidi="ar-SA"/>
        </w:rPr>
        <w:t xml:space="preserve">  </w:t>
      </w:r>
      <w:r>
        <w:rPr>
          <w:rFonts w:hint="default" w:ascii="仿宋_GB2312" w:hAnsi="仿宋_GB2312" w:eastAsia="仿宋_GB2312" w:cs="仿宋_GB2312"/>
          <w:color w:val="auto"/>
          <w:sz w:val="32"/>
          <w:szCs w:val="32"/>
          <w:lang w:val="en-US" w:eastAsia="zh-CN"/>
        </w:rPr>
        <w:t>城市道路占用费标准按所占道路等级、占道类型（经营性、非经营性或其他占道）及使用性质等因素确定</w:t>
      </w:r>
      <w:r>
        <w:rPr>
          <w:rFonts w:hint="eastAsia" w:ascii="仿宋_GB2312" w:hAnsi="仿宋_GB2312" w:eastAsia="仿宋_GB2312" w:cs="仿宋_GB2312"/>
          <w:color w:val="auto"/>
          <w:sz w:val="32"/>
          <w:szCs w:val="32"/>
          <w:lang w:val="en-US" w:eastAsia="zh-CN"/>
        </w:rPr>
        <w:t>。</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城市道路挖掘修复费标准按道路的结构、使用年限、损坏程度及当年材料费等因素确定。挖掘修复涉及特殊结构或非常规市政材料,价格与常规修复单价差异较大时，可另行委托具有相关资质单位编制专项修复单价，并报市政工程行政主管部门进行审核确定。</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仿宋_GB2312" w:hAnsi="仿宋_GB2312" w:eastAsia="仿宋_GB2312" w:cs="仿宋_GB2312"/>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第六条</w:t>
      </w:r>
      <w:r>
        <w:rPr>
          <w:rFonts w:hint="default" w:ascii="Times New Roman" w:hAnsi="Times New Roman" w:eastAsia="仿宋_GB2312" w:cs="Times New Roman"/>
          <w:color w:val="auto"/>
          <w:kern w:val="2"/>
          <w:sz w:val="32"/>
          <w:szCs w:val="32"/>
          <w:u w:val="none"/>
          <w:shd w:val="clear" w:color="auto" w:fill="auto"/>
          <w:lang w:val="en-US" w:eastAsia="zh-CN" w:bidi="ar-SA"/>
        </w:rPr>
        <w:t xml:space="preserve"> </w:t>
      </w:r>
      <w:r>
        <w:rPr>
          <w:rFonts w:hint="default" w:ascii="仿宋_GB2312" w:hAnsi="仿宋_GB2312" w:eastAsia="仿宋_GB2312" w:cs="仿宋_GB2312"/>
          <w:color w:val="auto"/>
          <w:sz w:val="32"/>
          <w:szCs w:val="32"/>
          <w:lang w:val="en-US" w:eastAsia="zh-CN"/>
        </w:rPr>
        <w:t xml:space="preserve"> 新建、扩建、改建的城市道路交付使用后5年内、大修的城市道路竣工后3年内不得挖掘；因特殊情况需要挖掘的，须经县级以上城市人民政府批准，并依照城市道路挖掘修复费收费标准中规定的建成周期系数加收挖掘修复费。</w:t>
      </w:r>
      <w:r>
        <w:rPr>
          <w:rFonts w:hint="eastAsia" w:ascii="仿宋_GB2312" w:hAnsi="仿宋_GB2312" w:eastAsia="仿宋_GB2312" w:cs="仿宋_GB2312"/>
          <w:color w:val="auto"/>
          <w:sz w:val="32"/>
          <w:szCs w:val="32"/>
          <w:lang w:val="en-US" w:eastAsia="zh-CN"/>
        </w:rPr>
        <w:t>其他情形的参照第四条办理。</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仿宋_GB2312" w:hAnsi="仿宋_GB2312" w:eastAsia="仿宋_GB2312" w:cs="仿宋_GB2312"/>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第七条</w:t>
      </w:r>
      <w:r>
        <w:rPr>
          <w:rFonts w:hint="default" w:ascii="Times New Roman" w:hAnsi="Times New Roman" w:eastAsia="仿宋_GB2312" w:cs="Times New Roman"/>
          <w:color w:val="auto"/>
          <w:kern w:val="2"/>
          <w:sz w:val="32"/>
          <w:szCs w:val="32"/>
          <w:u w:val="none"/>
          <w:shd w:val="clear" w:color="auto" w:fill="auto"/>
          <w:lang w:val="en-US" w:eastAsia="zh-CN" w:bidi="ar-SA"/>
        </w:rPr>
        <w:t xml:space="preserve"> </w:t>
      </w:r>
      <w:r>
        <w:rPr>
          <w:rFonts w:hint="default" w:ascii="Times New Roman" w:hAnsi="Times New Roman" w:eastAsia="仿宋_GB2312" w:cs="Times New Roman"/>
          <w:b/>
          <w:bCs/>
          <w:color w:val="auto"/>
          <w:kern w:val="2"/>
          <w:sz w:val="32"/>
          <w:szCs w:val="32"/>
          <w:u w:val="none"/>
          <w:shd w:val="clear" w:color="auto" w:fill="auto"/>
          <w:lang w:val="en-US" w:eastAsia="zh-CN" w:bidi="ar-SA"/>
        </w:rPr>
        <w:t xml:space="preserve"> </w:t>
      </w:r>
      <w:r>
        <w:rPr>
          <w:rFonts w:hint="default" w:ascii="仿宋_GB2312" w:hAnsi="仿宋_GB2312" w:eastAsia="仿宋_GB2312" w:cs="仿宋_GB2312"/>
          <w:color w:val="auto"/>
          <w:sz w:val="32"/>
          <w:szCs w:val="32"/>
          <w:lang w:val="en-US" w:eastAsia="zh-CN"/>
        </w:rPr>
        <w:t>城市道路占用费和挖掘修复费由市政工程行政主管部门统一征收，按照国库集中收缴制度相关规定全部上缴同级国库,纳入财政预算管理。</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仿宋_GB2312" w:hAnsi="仿宋_GB2312" w:eastAsia="仿宋_GB2312" w:cs="仿宋_GB2312"/>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第八条</w:t>
      </w:r>
      <w:r>
        <w:rPr>
          <w:rFonts w:hint="default" w:ascii="Times New Roman" w:hAnsi="Times New Roman" w:eastAsia="仿宋_GB2312" w:cs="Times New Roman"/>
          <w:b/>
          <w:bCs/>
          <w:color w:val="auto"/>
          <w:kern w:val="2"/>
          <w:sz w:val="32"/>
          <w:szCs w:val="32"/>
          <w:u w:val="none"/>
          <w:shd w:val="clear" w:color="auto" w:fill="auto"/>
          <w:lang w:val="en-US" w:eastAsia="zh-CN" w:bidi="ar-SA"/>
        </w:rPr>
        <w:t xml:space="preserve">  </w:t>
      </w:r>
      <w:r>
        <w:rPr>
          <w:rFonts w:hint="default" w:ascii="仿宋_GB2312" w:hAnsi="仿宋_GB2312" w:eastAsia="仿宋_GB2312" w:cs="仿宋_GB2312"/>
          <w:color w:val="auto"/>
          <w:sz w:val="32"/>
          <w:szCs w:val="32"/>
          <w:lang w:val="en-US" w:eastAsia="zh-CN"/>
        </w:rPr>
        <w:t>城市道路占用费的收费标准，由自治区住房城乡建设主管部门拟订，报同级财政、价格主管部门核定；城市道路挖掘修复费的收费标准，由自治区住房城乡建设主管部门制定，报同级财政、价格主管部门备案。</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仿宋_GB2312" w:hAnsi="仿宋_GB2312" w:eastAsia="仿宋_GB2312" w:cs="仿宋_GB2312"/>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第九条</w:t>
      </w:r>
      <w:r>
        <w:rPr>
          <w:rFonts w:hint="default" w:ascii="Times New Roman" w:hAnsi="Times New Roman" w:eastAsia="仿宋_GB2312" w:cs="Times New Roman"/>
          <w:color w:val="auto"/>
          <w:kern w:val="2"/>
          <w:sz w:val="32"/>
          <w:szCs w:val="32"/>
          <w:u w:val="none"/>
          <w:shd w:val="clear" w:color="auto" w:fill="auto"/>
          <w:lang w:val="en-US" w:eastAsia="zh-CN" w:bidi="ar-SA"/>
        </w:rPr>
        <w:t xml:space="preserve"> </w:t>
      </w:r>
      <w:r>
        <w:rPr>
          <w:rFonts w:hint="eastAsia" w:cs="Times New Roman"/>
          <w:color w:val="auto"/>
          <w:kern w:val="2"/>
          <w:sz w:val="32"/>
          <w:szCs w:val="32"/>
          <w:u w:val="none"/>
          <w:shd w:val="clear" w:color="auto" w:fill="auto"/>
          <w:lang w:val="en-US" w:eastAsia="zh-CN" w:bidi="ar-SA"/>
        </w:rPr>
        <w:t xml:space="preserve"> </w:t>
      </w:r>
      <w:r>
        <w:rPr>
          <w:rFonts w:hint="default" w:ascii="仿宋_GB2312" w:hAnsi="仿宋_GB2312" w:eastAsia="仿宋_GB2312" w:cs="仿宋_GB2312"/>
          <w:color w:val="auto"/>
          <w:sz w:val="32"/>
          <w:szCs w:val="32"/>
          <w:lang w:val="en-US" w:eastAsia="zh-CN"/>
        </w:rPr>
        <w:t>城市道路占用费、城市道路挖掘修复费应纳入自治区行政事业性收费目录清单，实施收费时，应使用自治区财政厅统一监（印）制的非税收入票据。</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cs="Times New Roman"/>
          <w:color w:val="auto"/>
          <w:kern w:val="2"/>
          <w:sz w:val="32"/>
          <w:szCs w:val="32"/>
          <w:u w:val="none"/>
          <w:shd w:val="clear" w:color="auto" w:fill="auto"/>
          <w:lang w:val="en-US" w:eastAsia="zh-CN" w:bidi="ar-SA"/>
        </w:rPr>
      </w:pPr>
      <w:r>
        <w:rPr>
          <w:rFonts w:hint="default" w:ascii="Times New Roman" w:hAnsi="Times New Roman" w:eastAsia="黑体" w:cs="Times New Roman"/>
          <w:b w:val="0"/>
          <w:bCs w:val="0"/>
          <w:color w:val="auto"/>
          <w:sz w:val="32"/>
          <w:szCs w:val="32"/>
          <w:lang w:val="en-US" w:eastAsia="zh-CN"/>
        </w:rPr>
        <w:t>第十条</w:t>
      </w:r>
      <w:r>
        <w:rPr>
          <w:rFonts w:hint="default" w:ascii="Times New Roman" w:hAnsi="Times New Roman" w:eastAsia="黑体" w:cs="Times New Roman"/>
          <w:color w:val="auto"/>
          <w:kern w:val="2"/>
          <w:sz w:val="32"/>
          <w:szCs w:val="32"/>
          <w:u w:val="none"/>
          <w:shd w:val="clear" w:color="auto" w:fill="auto"/>
          <w:lang w:val="en-US" w:eastAsia="zh-CN" w:bidi="ar-SA"/>
        </w:rPr>
        <w:t xml:space="preserve"> </w:t>
      </w:r>
      <w:r>
        <w:rPr>
          <w:rFonts w:hint="eastAsia" w:eastAsia="黑体" w:cs="Times New Roman"/>
          <w:color w:val="auto"/>
          <w:kern w:val="2"/>
          <w:sz w:val="32"/>
          <w:szCs w:val="32"/>
          <w:u w:val="none"/>
          <w:shd w:val="clear" w:color="auto" w:fill="auto"/>
          <w:lang w:val="en-US" w:eastAsia="zh-CN" w:bidi="ar-SA"/>
        </w:rPr>
        <w:t xml:space="preserve"> </w:t>
      </w:r>
      <w:r>
        <w:rPr>
          <w:rFonts w:hint="default" w:cs="Times New Roman"/>
          <w:color w:val="auto"/>
          <w:kern w:val="2"/>
          <w:sz w:val="32"/>
          <w:szCs w:val="32"/>
          <w:u w:val="none"/>
          <w:shd w:val="clear" w:color="auto" w:fill="auto"/>
          <w:lang w:val="en-US" w:eastAsia="zh-CN" w:bidi="ar-SA"/>
        </w:rPr>
        <w:t>县人民政府所在地的城镇参照本管理办法执行。</w:t>
      </w: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default" w:ascii="Times New Roman" w:hAnsi="Times New Roman" w:eastAsia="仿宋_GB2312" w:cs="Times New Roman"/>
          <w:b/>
          <w:bCs/>
          <w:color w:val="auto"/>
          <w:kern w:val="2"/>
          <w:sz w:val="32"/>
          <w:szCs w:val="32"/>
          <w:lang w:val="en-US" w:eastAsia="zh-CN"/>
        </w:rPr>
      </w:pPr>
      <w:r>
        <w:rPr>
          <w:rFonts w:hint="default" w:ascii="Times New Roman" w:hAnsi="Times New Roman" w:eastAsia="黑体" w:cs="Times New Roman"/>
          <w:b w:val="0"/>
          <w:bCs w:val="0"/>
          <w:color w:val="auto"/>
          <w:sz w:val="32"/>
          <w:szCs w:val="32"/>
          <w:lang w:val="en-US" w:eastAsia="zh-CN"/>
        </w:rPr>
        <w:t>第十一条</w:t>
      </w:r>
      <w:r>
        <w:rPr>
          <w:rFonts w:hint="default" w:ascii="Times New Roman" w:hAnsi="Times New Roman" w:eastAsia="仿宋_GB2312" w:cs="Times New Roman"/>
          <w:color w:val="auto"/>
          <w:kern w:val="2"/>
          <w:sz w:val="32"/>
          <w:szCs w:val="32"/>
          <w:u w:val="none"/>
          <w:shd w:val="clear" w:color="auto" w:fill="auto"/>
          <w:lang w:val="en-US" w:eastAsia="zh-CN" w:bidi="ar-SA"/>
        </w:rPr>
        <w:t xml:space="preserve"> </w:t>
      </w:r>
      <w:r>
        <w:rPr>
          <w:rFonts w:hint="default" w:cs="Times New Roman"/>
          <w:color w:val="auto"/>
          <w:kern w:val="2"/>
          <w:sz w:val="32"/>
          <w:szCs w:val="32"/>
          <w:u w:val="none"/>
          <w:shd w:val="clear" w:color="auto" w:fill="auto"/>
          <w:lang w:val="en-US" w:eastAsia="zh-CN" w:bidi="ar-SA"/>
        </w:rPr>
        <w:t xml:space="preserve"> </w:t>
      </w:r>
      <w:r>
        <w:rPr>
          <w:rFonts w:hint="default" w:ascii="Times New Roman" w:hAnsi="Times New Roman" w:eastAsia="仿宋_GB2312" w:cs="Times New Roman"/>
          <w:b w:val="0"/>
          <w:bCs w:val="0"/>
          <w:color w:val="auto"/>
          <w:sz w:val="32"/>
          <w:szCs w:val="32"/>
          <w:lang w:val="en-US" w:eastAsia="zh-CN"/>
        </w:rPr>
        <w:t>本办法自</w:t>
      </w:r>
      <w:r>
        <w:rPr>
          <w:rFonts w:hint="eastAsia" w:ascii="Times New Roman" w:hAnsi="Times New Roman" w:eastAsia="仿宋_GB2312" w:cs="Times New Roman"/>
          <w:b w:val="0"/>
          <w:bCs w:val="0"/>
          <w:color w:val="auto"/>
          <w:sz w:val="32"/>
          <w:szCs w:val="32"/>
          <w:lang w:val="en-US" w:eastAsia="zh-CN"/>
        </w:rPr>
        <w:t>202</w:t>
      </w:r>
      <w:r>
        <w:rPr>
          <w:rFonts w:hint="eastAsia" w:ascii="Times New Roman" w:hAnsi="Times New Roman"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val="en-US" w:eastAsia="zh-CN"/>
        </w:rPr>
        <w:t>年</w:t>
      </w:r>
      <w:r>
        <w:rPr>
          <w:rFonts w:hint="eastAsia" w:ascii="Times New Roman" w:hAnsi="Times New Roman"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月</w:t>
      </w:r>
      <w:r>
        <w:rPr>
          <w:rFonts w:hint="eastAsia" w:ascii="Times New Roman" w:hAnsi="Times New Roman"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日起施行</w:t>
      </w:r>
      <w:r>
        <w:rPr>
          <w:rFonts w:hint="eastAsia" w:ascii="Times New Roman" w:hAnsi="Times New Roman" w:eastAsia="仿宋_GB2312" w:cs="Times New Roman"/>
          <w:b w:val="0"/>
          <w:bCs w:val="0"/>
          <w:color w:val="auto"/>
          <w:sz w:val="32"/>
          <w:szCs w:val="32"/>
          <w:lang w:val="en-US" w:eastAsia="zh-CN"/>
        </w:rPr>
        <w:t>，有效期</w:t>
      </w:r>
      <w:r>
        <w:rPr>
          <w:rFonts w:hint="eastAsia" w:ascii="Times New Roman" w:hAnsi="Times New Roman"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年。本办法由自治区住房城乡建设厅负责解释。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4" w:lineRule="exact"/>
        <w:ind w:left="0" w:right="0" w:firstLine="640" w:firstLineChars="200"/>
        <w:textAlignment w:val="baseline"/>
        <w:rPr>
          <w:rFonts w:hint="default" w:ascii="Times New Roman" w:hAnsi="Times New Roman" w:eastAsia="仿宋_GB2312" w:cs="Times New Roman"/>
          <w:i w:val="0"/>
          <w:caps w:val="0"/>
          <w:color w:val="auto"/>
          <w:spacing w:val="0"/>
          <w:sz w:val="32"/>
          <w:szCs w:val="32"/>
          <w:vertAlign w:val="baseline"/>
        </w:rPr>
      </w:pPr>
    </w:p>
    <w:p>
      <w:pPr>
        <w:keepNext w:val="0"/>
        <w:keepLines w:val="0"/>
        <w:pageBreakBefore w:val="0"/>
        <w:tabs>
          <w:tab w:val="left" w:pos="894"/>
        </w:tabs>
        <w:kinsoku/>
        <w:wordWrap/>
        <w:overflowPunct/>
        <w:topLinePunct w:val="0"/>
        <w:autoSpaceDE/>
        <w:autoSpaceDN/>
        <w:bidi w:val="0"/>
        <w:adjustRightInd/>
        <w:snapToGrid/>
        <w:spacing w:line="574" w:lineRule="exact"/>
        <w:ind w:firstLine="640" w:firstLineChars="200"/>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附表：1.城市道路占用费收费标准</w:t>
      </w:r>
    </w:p>
    <w:p>
      <w:pPr>
        <w:keepNext w:val="0"/>
        <w:keepLines w:val="0"/>
        <w:pageBreakBefore w:val="0"/>
        <w:tabs>
          <w:tab w:val="left" w:pos="894"/>
        </w:tabs>
        <w:kinsoku/>
        <w:wordWrap/>
        <w:overflowPunct/>
        <w:topLinePunct w:val="0"/>
        <w:autoSpaceDE/>
        <w:autoSpaceDN/>
        <w:bidi w:val="0"/>
        <w:adjustRightInd/>
        <w:snapToGrid/>
        <w:spacing w:line="574" w:lineRule="exact"/>
        <w:ind w:firstLine="1600" w:firstLineChars="500"/>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2.城市道路挖掘修复收费标准</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黑体" w:hAnsi="黑体" w:eastAsia="黑体" w:cs="黑体"/>
          <w:color w:val="auto"/>
          <w:sz w:val="32"/>
          <w:szCs w:val="32"/>
          <w:lang w:val="en-US" w:eastAsia="zh-CN"/>
        </w:rPr>
      </w:pPr>
      <w:r>
        <w:rPr>
          <w:rFonts w:hint="default" w:ascii="Times New Roman" w:hAnsi="Times New Roman" w:eastAsia="方正仿宋_GBK" w:cs="Times New Roman"/>
          <w:i w:val="0"/>
          <w:caps w:val="0"/>
          <w:color w:val="auto"/>
          <w:spacing w:val="0"/>
          <w:sz w:val="32"/>
          <w:szCs w:val="32"/>
          <w:vertAlign w:val="baseline"/>
        </w:rPr>
        <w:br w:type="page"/>
      </w:r>
      <w:r>
        <w:rPr>
          <w:rFonts w:hint="default" w:ascii="Nimbus Roman No9 L" w:hAnsi="Nimbus Roman No9 L" w:eastAsia="黑体" w:cs="Nimbus Roman No9 L"/>
          <w:color w:val="auto"/>
          <w:sz w:val="32"/>
          <w:szCs w:val="32"/>
        </w:rPr>
        <w:t>附表</w:t>
      </w:r>
      <w:r>
        <w:rPr>
          <w:rFonts w:hint="default" w:ascii="Nimbus Roman No9 L" w:hAnsi="Nimbus Roman No9 L" w:eastAsia="黑体" w:cs="Nimbus Roman No9 L"/>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Times New Roman" w:hAnsi="Times New Roman" w:eastAsia="方正小标宋简体" w:cs="Times New Roman"/>
          <w:b w:val="0"/>
          <w:bCs/>
          <w:color w:val="auto"/>
          <w:sz w:val="36"/>
          <w:szCs w:val="36"/>
        </w:rPr>
      </w:pPr>
      <w:r>
        <w:rPr>
          <w:rFonts w:hint="default" w:ascii="Times New Roman" w:hAnsi="Times New Roman" w:eastAsia="方正小标宋简体" w:cs="Times New Roman"/>
          <w:b w:val="0"/>
          <w:bCs/>
          <w:color w:val="auto"/>
          <w:sz w:val="36"/>
          <w:szCs w:val="36"/>
        </w:rPr>
        <w:t>城市道路占用费收费标准</w:t>
      </w:r>
    </w:p>
    <w:p>
      <w:pPr>
        <w:keepNext w:val="0"/>
        <w:keepLines w:val="0"/>
        <w:pageBreakBefore w:val="0"/>
        <w:kinsoku/>
        <w:wordWrap/>
        <w:overflowPunct/>
        <w:topLinePunct w:val="0"/>
        <w:autoSpaceDE/>
        <w:autoSpaceDN/>
        <w:bidi w:val="0"/>
        <w:adjustRightInd/>
        <w:snapToGrid/>
        <w:spacing w:line="574" w:lineRule="exact"/>
        <w:jc w:val="right"/>
        <w:rPr>
          <w:rFonts w:hint="default" w:ascii="Times New Roman" w:hAnsi="Times New Roman" w:eastAsia="仿宋_GB2312" w:cs="Times New Roman"/>
          <w:color w:val="auto"/>
          <w:sz w:val="16"/>
          <w:szCs w:val="22"/>
        </w:rPr>
      </w:pPr>
      <w:r>
        <w:rPr>
          <w:rFonts w:hint="default" w:ascii="Times New Roman" w:hAnsi="Times New Roman" w:eastAsia="仿宋_GB2312" w:cs="Times New Roman"/>
          <w:color w:val="auto"/>
          <w:sz w:val="24"/>
          <w:szCs w:val="22"/>
        </w:rPr>
        <w:t>单位：元／平方米·天</w:t>
      </w:r>
    </w:p>
    <w:tbl>
      <w:tblPr>
        <w:tblStyle w:val="8"/>
        <w:tblW w:w="9060" w:type="dxa"/>
        <w:jc w:val="center"/>
        <w:tblInd w:w="0" w:type="dxa"/>
        <w:tblLayout w:type="fixed"/>
        <w:tblCellMar>
          <w:top w:w="0" w:type="dxa"/>
          <w:left w:w="108" w:type="dxa"/>
          <w:bottom w:w="0" w:type="dxa"/>
          <w:right w:w="108" w:type="dxa"/>
        </w:tblCellMar>
      </w:tblPr>
      <w:tblGrid>
        <w:gridCol w:w="1781"/>
        <w:gridCol w:w="902"/>
        <w:gridCol w:w="1156"/>
        <w:gridCol w:w="1421"/>
        <w:gridCol w:w="1899"/>
        <w:gridCol w:w="1901"/>
      </w:tblGrid>
      <w:tr>
        <w:tblPrEx>
          <w:tblLayout w:type="fixed"/>
          <w:tblCellMar>
            <w:top w:w="0" w:type="dxa"/>
            <w:left w:w="108" w:type="dxa"/>
            <w:bottom w:w="0" w:type="dxa"/>
            <w:right w:w="108" w:type="dxa"/>
          </w:tblCellMar>
        </w:tblPrEx>
        <w:trPr>
          <w:trHeight w:val="900" w:hRule="atLeast"/>
          <w:jc w:val="center"/>
        </w:trPr>
        <w:tc>
          <w:tcPr>
            <w:tcW w:w="26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类   别</w:t>
            </w:r>
          </w:p>
        </w:tc>
        <w:tc>
          <w:tcPr>
            <w:tcW w:w="115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基建</w:t>
            </w:r>
          </w:p>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占道</w:t>
            </w:r>
          </w:p>
        </w:tc>
        <w:tc>
          <w:tcPr>
            <w:tcW w:w="142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经营性</w:t>
            </w:r>
          </w:p>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pacing w:val="150"/>
                <w:kern w:val="0"/>
                <w:sz w:val="24"/>
                <w:szCs w:val="24"/>
                <w:fitText w:val="780" w:id="0"/>
              </w:rPr>
              <w:t>占</w:t>
            </w:r>
            <w:r>
              <w:rPr>
                <w:rFonts w:hint="default" w:ascii="Times New Roman" w:hAnsi="Times New Roman" w:eastAsia="仿宋_GB2312" w:cs="Times New Roman"/>
                <w:color w:val="auto"/>
                <w:spacing w:val="0"/>
                <w:kern w:val="0"/>
                <w:sz w:val="24"/>
                <w:szCs w:val="24"/>
                <w:fitText w:val="780" w:id="0"/>
              </w:rPr>
              <w:t>道</w:t>
            </w:r>
          </w:p>
        </w:tc>
        <w:tc>
          <w:tcPr>
            <w:tcW w:w="18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pacing w:val="145"/>
                <w:kern w:val="0"/>
                <w:sz w:val="24"/>
                <w:szCs w:val="24"/>
                <w:fitText w:val="1300" w:id="1"/>
              </w:rPr>
              <w:t>机动</w:t>
            </w:r>
            <w:r>
              <w:rPr>
                <w:rFonts w:hint="default" w:ascii="Times New Roman" w:hAnsi="Times New Roman" w:eastAsia="仿宋_GB2312" w:cs="Times New Roman"/>
                <w:color w:val="auto"/>
                <w:spacing w:val="0"/>
                <w:kern w:val="0"/>
                <w:sz w:val="24"/>
                <w:szCs w:val="24"/>
                <w:fitText w:val="1300" w:id="1"/>
              </w:rPr>
              <w:t>车</w:t>
            </w:r>
          </w:p>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停车场占道</w:t>
            </w:r>
          </w:p>
        </w:tc>
        <w:tc>
          <w:tcPr>
            <w:tcW w:w="19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pacing w:val="56"/>
                <w:kern w:val="0"/>
                <w:sz w:val="24"/>
                <w:szCs w:val="24"/>
                <w:fitText w:val="1300" w:id="2"/>
              </w:rPr>
              <w:t>非机动</w:t>
            </w:r>
            <w:r>
              <w:rPr>
                <w:rFonts w:hint="default" w:ascii="Times New Roman" w:hAnsi="Times New Roman" w:eastAsia="仿宋_GB2312" w:cs="Times New Roman"/>
                <w:color w:val="auto"/>
                <w:spacing w:val="2"/>
                <w:kern w:val="0"/>
                <w:sz w:val="24"/>
                <w:szCs w:val="24"/>
                <w:fitText w:val="1300" w:id="2"/>
              </w:rPr>
              <w:t>车</w:t>
            </w:r>
          </w:p>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停车场占道</w:t>
            </w:r>
          </w:p>
        </w:tc>
      </w:tr>
      <w:tr>
        <w:tblPrEx>
          <w:tblLayout w:type="fixed"/>
          <w:tblCellMar>
            <w:top w:w="0" w:type="dxa"/>
            <w:left w:w="108" w:type="dxa"/>
            <w:bottom w:w="0" w:type="dxa"/>
            <w:right w:w="108" w:type="dxa"/>
          </w:tblCellMar>
        </w:tblPrEx>
        <w:trPr>
          <w:trHeight w:val="300" w:hRule="atLeast"/>
          <w:jc w:val="center"/>
        </w:trPr>
        <w:tc>
          <w:tcPr>
            <w:tcW w:w="178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人流集中地区</w:t>
            </w:r>
          </w:p>
        </w:tc>
        <w:tc>
          <w:tcPr>
            <w:tcW w:w="9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道路</w:t>
            </w:r>
          </w:p>
        </w:tc>
        <w:tc>
          <w:tcPr>
            <w:tcW w:w="115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0.4</w:t>
            </w:r>
          </w:p>
        </w:tc>
        <w:tc>
          <w:tcPr>
            <w:tcW w:w="142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0.7</w:t>
            </w:r>
          </w:p>
        </w:tc>
        <w:tc>
          <w:tcPr>
            <w:tcW w:w="18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0.7</w:t>
            </w:r>
          </w:p>
        </w:tc>
        <w:tc>
          <w:tcPr>
            <w:tcW w:w="19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74"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0.2</w:t>
            </w:r>
          </w:p>
        </w:tc>
      </w:tr>
      <w:tr>
        <w:tblPrEx>
          <w:tblLayout w:type="fixed"/>
          <w:tblCellMar>
            <w:top w:w="0" w:type="dxa"/>
            <w:left w:w="108" w:type="dxa"/>
            <w:bottom w:w="0" w:type="dxa"/>
            <w:right w:w="108" w:type="dxa"/>
          </w:tblCellMar>
        </w:tblPrEx>
        <w:trPr>
          <w:trHeight w:val="300" w:hRule="atLeast"/>
          <w:jc w:val="center"/>
        </w:trPr>
        <w:tc>
          <w:tcPr>
            <w:tcW w:w="178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p>
        </w:tc>
        <w:tc>
          <w:tcPr>
            <w:tcW w:w="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巷道</w:t>
            </w:r>
          </w:p>
        </w:tc>
        <w:tc>
          <w:tcPr>
            <w:tcW w:w="115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0.2</w:t>
            </w:r>
          </w:p>
        </w:tc>
        <w:tc>
          <w:tcPr>
            <w:tcW w:w="142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0.4</w:t>
            </w:r>
          </w:p>
        </w:tc>
        <w:tc>
          <w:tcPr>
            <w:tcW w:w="189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0.3</w:t>
            </w:r>
          </w:p>
        </w:tc>
        <w:tc>
          <w:tcPr>
            <w:tcW w:w="19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0.08</w:t>
            </w:r>
          </w:p>
        </w:tc>
      </w:tr>
      <w:tr>
        <w:tblPrEx>
          <w:tblLayout w:type="fixed"/>
          <w:tblCellMar>
            <w:top w:w="0" w:type="dxa"/>
            <w:left w:w="108" w:type="dxa"/>
            <w:bottom w:w="0" w:type="dxa"/>
            <w:right w:w="108" w:type="dxa"/>
          </w:tblCellMar>
        </w:tblPrEx>
        <w:trPr>
          <w:trHeight w:val="300" w:hRule="atLeast"/>
          <w:jc w:val="center"/>
        </w:trPr>
        <w:tc>
          <w:tcPr>
            <w:tcW w:w="1781"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人流一般地区</w:t>
            </w:r>
          </w:p>
        </w:tc>
        <w:tc>
          <w:tcPr>
            <w:tcW w:w="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道路</w:t>
            </w:r>
          </w:p>
        </w:tc>
        <w:tc>
          <w:tcPr>
            <w:tcW w:w="115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0.3</w:t>
            </w:r>
          </w:p>
        </w:tc>
        <w:tc>
          <w:tcPr>
            <w:tcW w:w="142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0.5</w:t>
            </w:r>
          </w:p>
        </w:tc>
        <w:tc>
          <w:tcPr>
            <w:tcW w:w="189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0.4</w:t>
            </w:r>
          </w:p>
        </w:tc>
        <w:tc>
          <w:tcPr>
            <w:tcW w:w="19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0.1</w:t>
            </w:r>
          </w:p>
        </w:tc>
      </w:tr>
      <w:tr>
        <w:tblPrEx>
          <w:tblLayout w:type="fixed"/>
          <w:tblCellMar>
            <w:top w:w="0" w:type="dxa"/>
            <w:left w:w="108" w:type="dxa"/>
            <w:bottom w:w="0" w:type="dxa"/>
            <w:right w:w="108" w:type="dxa"/>
          </w:tblCellMar>
        </w:tblPrEx>
        <w:trPr>
          <w:trHeight w:val="300" w:hRule="atLeast"/>
          <w:jc w:val="center"/>
        </w:trPr>
        <w:tc>
          <w:tcPr>
            <w:tcW w:w="1781" w:type="dxa"/>
            <w:vMerge w:val="continue"/>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p>
        </w:tc>
        <w:tc>
          <w:tcPr>
            <w:tcW w:w="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巷道</w:t>
            </w:r>
          </w:p>
        </w:tc>
        <w:tc>
          <w:tcPr>
            <w:tcW w:w="115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0.1</w:t>
            </w:r>
          </w:p>
        </w:tc>
        <w:tc>
          <w:tcPr>
            <w:tcW w:w="142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0.3</w:t>
            </w:r>
          </w:p>
        </w:tc>
        <w:tc>
          <w:tcPr>
            <w:tcW w:w="189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0.2</w:t>
            </w:r>
          </w:p>
        </w:tc>
        <w:tc>
          <w:tcPr>
            <w:tcW w:w="19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0.05</w:t>
            </w:r>
          </w:p>
        </w:tc>
      </w:tr>
      <w:tr>
        <w:tblPrEx>
          <w:tblLayout w:type="fixed"/>
          <w:tblCellMar>
            <w:top w:w="0" w:type="dxa"/>
            <w:left w:w="108" w:type="dxa"/>
            <w:bottom w:w="0" w:type="dxa"/>
            <w:right w:w="108" w:type="dxa"/>
          </w:tblCellMar>
        </w:tblPrEx>
        <w:trPr>
          <w:trHeight w:val="300" w:hRule="atLeast"/>
          <w:jc w:val="center"/>
        </w:trPr>
        <w:tc>
          <w:tcPr>
            <w:tcW w:w="1781"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人流较少地区</w:t>
            </w:r>
          </w:p>
        </w:tc>
        <w:tc>
          <w:tcPr>
            <w:tcW w:w="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道路</w:t>
            </w:r>
          </w:p>
        </w:tc>
        <w:tc>
          <w:tcPr>
            <w:tcW w:w="115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0.1</w:t>
            </w:r>
          </w:p>
        </w:tc>
        <w:tc>
          <w:tcPr>
            <w:tcW w:w="142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0.3</w:t>
            </w:r>
          </w:p>
        </w:tc>
        <w:tc>
          <w:tcPr>
            <w:tcW w:w="189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0.2</w:t>
            </w:r>
          </w:p>
        </w:tc>
        <w:tc>
          <w:tcPr>
            <w:tcW w:w="19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0.05</w:t>
            </w:r>
          </w:p>
        </w:tc>
      </w:tr>
      <w:tr>
        <w:tblPrEx>
          <w:tblLayout w:type="fixed"/>
          <w:tblCellMar>
            <w:top w:w="0" w:type="dxa"/>
            <w:left w:w="108" w:type="dxa"/>
            <w:bottom w:w="0" w:type="dxa"/>
            <w:right w:w="108" w:type="dxa"/>
          </w:tblCellMar>
        </w:tblPrEx>
        <w:trPr>
          <w:trHeight w:val="300" w:hRule="atLeast"/>
          <w:jc w:val="center"/>
        </w:trPr>
        <w:tc>
          <w:tcPr>
            <w:tcW w:w="178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20"/>
                <w:szCs w:val="20"/>
              </w:rPr>
            </w:pPr>
          </w:p>
        </w:tc>
        <w:tc>
          <w:tcPr>
            <w:tcW w:w="90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巷道</w:t>
            </w:r>
          </w:p>
        </w:tc>
        <w:tc>
          <w:tcPr>
            <w:tcW w:w="115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0.05</w:t>
            </w:r>
          </w:p>
        </w:tc>
        <w:tc>
          <w:tcPr>
            <w:tcW w:w="142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0.1</w:t>
            </w:r>
          </w:p>
        </w:tc>
        <w:tc>
          <w:tcPr>
            <w:tcW w:w="189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0.1</w:t>
            </w:r>
          </w:p>
        </w:tc>
        <w:tc>
          <w:tcPr>
            <w:tcW w:w="1901" w:type="dxa"/>
            <w:tcBorders>
              <w:top w:val="nil"/>
              <w:left w:val="nil"/>
              <w:bottom w:val="single" w:color="auto" w:sz="4" w:space="0"/>
              <w:right w:val="single" w:color="auto" w:sz="4" w:space="0"/>
            </w:tcBorders>
            <w:vAlign w:val="center"/>
          </w:tcPr>
          <w:p>
            <w:pPr>
              <w:widowControl/>
              <w:rPr>
                <w:rFonts w:hint="default" w:ascii="Times New Roman" w:hAnsi="Times New Roman" w:eastAsia="仿宋_GB2312" w:cs="Times New Roman"/>
                <w:color w:val="auto"/>
                <w:kern w:val="0"/>
                <w:sz w:val="20"/>
                <w:szCs w:val="20"/>
              </w:rPr>
            </w:pPr>
            <w:r>
              <w:rPr>
                <w:rFonts w:hint="default" w:ascii="Times New Roman" w:hAnsi="Times New Roman" w:eastAsia="仿宋_GB2312" w:cs="Times New Roman"/>
                <w:color w:val="auto"/>
                <w:kern w:val="0"/>
                <w:sz w:val="20"/>
                <w:szCs w:val="20"/>
              </w:rPr>
              <w:t>　</w:t>
            </w:r>
          </w:p>
        </w:tc>
      </w:tr>
    </w:tbl>
    <w:p>
      <w:pPr>
        <w:spacing w:before="320" w:line="440" w:lineRule="exact"/>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说明：一、乌鲁木齐</w:t>
      </w:r>
      <w:r>
        <w:rPr>
          <w:rFonts w:hint="default" w:ascii="Times New Roman" w:hAnsi="Times New Roman" w:eastAsia="仿宋_GB2312" w:cs="Times New Roman"/>
          <w:color w:val="auto"/>
          <w:sz w:val="22"/>
          <w:szCs w:val="22"/>
          <w:lang w:val="en-US" w:eastAsia="zh-CN"/>
        </w:rPr>
        <w:t>市</w:t>
      </w:r>
      <w:r>
        <w:rPr>
          <w:rFonts w:hint="default" w:ascii="Times New Roman" w:hAnsi="Times New Roman" w:eastAsia="仿宋_GB2312" w:cs="Times New Roman"/>
          <w:color w:val="auto"/>
          <w:sz w:val="22"/>
          <w:szCs w:val="22"/>
        </w:rPr>
        <w:t>按以上标准收取，地、州、市所在地城市按以上标准80％收取，其他县（市）城市按60％收取。</w:t>
      </w:r>
    </w:p>
    <w:p>
      <w:pPr>
        <w:spacing w:line="400" w:lineRule="exact"/>
        <w:ind w:firstLine="660" w:firstLineChars="30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二、机动车和非机动车停车场占道费是指经批准在城市道路、广场红线范围内设置停车场的经营者应缴纳的费用。</w:t>
      </w:r>
    </w:p>
    <w:p>
      <w:pPr>
        <w:spacing w:line="400" w:lineRule="exact"/>
        <w:ind w:firstLine="660" w:firstLineChars="30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三、城市人流集中地区、人流一般地区、人流较少地区区域的界定由市、县（市）财政、价格、市政工程行政主管部门共同确定后，报同级人民政府审定。</w:t>
      </w:r>
    </w:p>
    <w:p>
      <w:pPr>
        <w:spacing w:line="400" w:lineRule="exact"/>
        <w:jc w:val="both"/>
        <w:rPr>
          <w:rFonts w:hint="eastAsia"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24"/>
          <w:szCs w:val="22"/>
        </w:rPr>
        <w:br w:type="page"/>
      </w:r>
      <w:r>
        <w:rPr>
          <w:rFonts w:hint="default" w:ascii="Times New Roman" w:hAnsi="Times New Roman" w:eastAsia="黑体" w:cs="Times New Roman"/>
          <w:color w:val="auto"/>
          <w:sz w:val="32"/>
          <w:szCs w:val="32"/>
        </w:rPr>
        <w:t>附表</w:t>
      </w:r>
      <w:r>
        <w:rPr>
          <w:rFonts w:hint="eastAsia" w:ascii="Times New Roman" w:hAnsi="Times New Roman" w:eastAsia="黑体" w:cs="Times New Roman"/>
          <w:color w:val="auto"/>
          <w:sz w:val="32"/>
          <w:szCs w:val="32"/>
          <w:lang w:val="en-US" w:eastAsia="zh-CN"/>
        </w:rPr>
        <w:t>2</w:t>
      </w:r>
    </w:p>
    <w:p>
      <w:pPr>
        <w:spacing w:line="400" w:lineRule="exact"/>
        <w:jc w:val="center"/>
        <w:rPr>
          <w:rFonts w:hint="default" w:ascii="Times New Roman" w:hAnsi="Times New Roman" w:eastAsia="仿宋_GB2312" w:cs="Times New Roman"/>
          <w:color w:val="auto"/>
          <w:sz w:val="24"/>
          <w:szCs w:val="2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olor w:val="auto"/>
          <w:sz w:val="36"/>
          <w:szCs w:val="36"/>
        </w:rPr>
      </w:pPr>
      <w:r>
        <w:rPr>
          <w:rFonts w:hint="default" w:ascii="Times New Roman" w:hAnsi="Times New Roman" w:eastAsia="方正小标宋简体" w:cs="Times New Roman"/>
          <w:b w:val="0"/>
          <w:bCs/>
          <w:color w:val="auto"/>
          <w:sz w:val="36"/>
          <w:szCs w:val="36"/>
        </w:rPr>
        <w:t>城市道路挖掘修复收费标准</w:t>
      </w:r>
    </w:p>
    <w:p>
      <w:pPr>
        <w:spacing w:line="500" w:lineRule="exact"/>
        <w:jc w:val="right"/>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单位：元／平方米</w:t>
      </w:r>
    </w:p>
    <w:tbl>
      <w:tblPr>
        <w:tblStyle w:val="8"/>
        <w:tblW w:w="95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083"/>
        <w:gridCol w:w="1083"/>
        <w:gridCol w:w="1083"/>
        <w:gridCol w:w="1083"/>
        <w:gridCol w:w="1083"/>
        <w:gridCol w:w="1083"/>
        <w:gridCol w:w="1083"/>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0" w:hRule="atLeast"/>
          <w:jc w:val="center"/>
        </w:trPr>
        <w:tc>
          <w:tcPr>
            <w:tcW w:w="983" w:type="dxa"/>
            <w:vMerge w:val="restart"/>
            <w:textDirection w:val="tbRlV"/>
            <w:vAlign w:val="center"/>
          </w:tcPr>
          <w:p>
            <w:pPr>
              <w:widowControl/>
              <w:ind w:left="113" w:right="113"/>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pacing w:val="213"/>
                <w:kern w:val="0"/>
                <w:sz w:val="24"/>
                <w:szCs w:val="24"/>
                <w:fitText w:val="2240" w:id="3"/>
              </w:rPr>
              <w:t>道路种</w:t>
            </w:r>
            <w:r>
              <w:rPr>
                <w:rFonts w:hint="default" w:ascii="Times New Roman" w:hAnsi="Times New Roman" w:eastAsia="仿宋_GB2312" w:cs="Times New Roman"/>
                <w:color w:val="auto"/>
                <w:spacing w:val="1"/>
                <w:kern w:val="0"/>
                <w:sz w:val="24"/>
                <w:szCs w:val="24"/>
                <w:fitText w:val="2240" w:id="3"/>
              </w:rPr>
              <w:t>类</w:t>
            </w:r>
          </w:p>
        </w:tc>
        <w:tc>
          <w:tcPr>
            <w:tcW w:w="2166" w:type="dxa"/>
            <w:gridSpan w:val="2"/>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城市快速路</w:t>
            </w:r>
          </w:p>
        </w:tc>
        <w:tc>
          <w:tcPr>
            <w:tcW w:w="2166" w:type="dxa"/>
            <w:gridSpan w:val="2"/>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城市主干路</w:t>
            </w:r>
          </w:p>
        </w:tc>
        <w:tc>
          <w:tcPr>
            <w:tcW w:w="2166" w:type="dxa"/>
            <w:gridSpan w:val="2"/>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城市次干路</w:t>
            </w:r>
          </w:p>
        </w:tc>
        <w:tc>
          <w:tcPr>
            <w:tcW w:w="2021" w:type="dxa"/>
            <w:gridSpan w:val="2"/>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混凝土方砖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6" w:hRule="atLeast"/>
          <w:jc w:val="center"/>
        </w:trPr>
        <w:tc>
          <w:tcPr>
            <w:tcW w:w="983" w:type="dxa"/>
            <w:vMerge w:val="continue"/>
            <w:vAlign w:val="center"/>
          </w:tcPr>
          <w:p>
            <w:pPr>
              <w:widowControl/>
              <w:jc w:val="center"/>
              <w:rPr>
                <w:rFonts w:hint="default" w:ascii="Times New Roman" w:hAnsi="Times New Roman" w:eastAsia="仿宋_GB2312" w:cs="Times New Roman"/>
                <w:color w:val="auto"/>
                <w:kern w:val="0"/>
                <w:sz w:val="24"/>
                <w:szCs w:val="24"/>
              </w:rPr>
            </w:pPr>
          </w:p>
        </w:tc>
        <w:tc>
          <w:tcPr>
            <w:tcW w:w="1083" w:type="dxa"/>
            <w:vAlign w:val="center"/>
          </w:tcPr>
          <w:p>
            <w:pPr>
              <w:widowControl/>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水泥混凝土路面</w:t>
            </w:r>
          </w:p>
        </w:tc>
        <w:tc>
          <w:tcPr>
            <w:tcW w:w="1083" w:type="dxa"/>
            <w:vAlign w:val="center"/>
          </w:tcPr>
          <w:p>
            <w:pPr>
              <w:widowControl/>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沥青混凝土路面</w:t>
            </w:r>
          </w:p>
        </w:tc>
        <w:tc>
          <w:tcPr>
            <w:tcW w:w="1083" w:type="dxa"/>
            <w:vAlign w:val="center"/>
          </w:tcPr>
          <w:p>
            <w:pPr>
              <w:widowControl/>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水泥混凝土路面</w:t>
            </w:r>
          </w:p>
        </w:tc>
        <w:tc>
          <w:tcPr>
            <w:tcW w:w="1083" w:type="dxa"/>
            <w:vAlign w:val="center"/>
          </w:tcPr>
          <w:p>
            <w:pPr>
              <w:widowControl/>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沥青混凝土路面</w:t>
            </w:r>
          </w:p>
        </w:tc>
        <w:tc>
          <w:tcPr>
            <w:tcW w:w="1083" w:type="dxa"/>
            <w:vAlign w:val="center"/>
          </w:tcPr>
          <w:p>
            <w:pPr>
              <w:widowControl/>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水泥混凝土路面</w:t>
            </w:r>
          </w:p>
        </w:tc>
        <w:tc>
          <w:tcPr>
            <w:tcW w:w="1083" w:type="dxa"/>
            <w:vAlign w:val="center"/>
          </w:tcPr>
          <w:p>
            <w:pPr>
              <w:widowControl/>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沥青混凝土路面</w:t>
            </w:r>
          </w:p>
        </w:tc>
        <w:tc>
          <w:tcPr>
            <w:tcW w:w="1083"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彩色</w:t>
            </w:r>
          </w:p>
        </w:tc>
        <w:tc>
          <w:tcPr>
            <w:tcW w:w="938"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素色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983"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基价</w:t>
            </w:r>
          </w:p>
        </w:tc>
        <w:tc>
          <w:tcPr>
            <w:tcW w:w="1083"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462.00</w:t>
            </w:r>
          </w:p>
        </w:tc>
        <w:tc>
          <w:tcPr>
            <w:tcW w:w="1083"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394.00</w:t>
            </w:r>
          </w:p>
        </w:tc>
        <w:tc>
          <w:tcPr>
            <w:tcW w:w="1083"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335.00</w:t>
            </w:r>
          </w:p>
        </w:tc>
        <w:tc>
          <w:tcPr>
            <w:tcW w:w="1083"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231.00</w:t>
            </w:r>
          </w:p>
        </w:tc>
        <w:tc>
          <w:tcPr>
            <w:tcW w:w="1083"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268.00</w:t>
            </w:r>
          </w:p>
        </w:tc>
        <w:tc>
          <w:tcPr>
            <w:tcW w:w="1083"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203.00</w:t>
            </w:r>
          </w:p>
        </w:tc>
        <w:tc>
          <w:tcPr>
            <w:tcW w:w="1083"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111.00</w:t>
            </w:r>
          </w:p>
        </w:tc>
        <w:tc>
          <w:tcPr>
            <w:tcW w:w="938" w:type="dxa"/>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93.00</w:t>
            </w:r>
          </w:p>
        </w:tc>
      </w:tr>
    </w:tbl>
    <w:tbl>
      <w:tblPr>
        <w:tblStyle w:val="8"/>
        <w:tblpPr w:leftFromText="180" w:rightFromText="180" w:vertAnchor="text" w:horzAnchor="page" w:tblpXSpec="center" w:tblpY="329"/>
        <w:tblOverlap w:val="never"/>
        <w:tblW w:w="9533" w:type="dxa"/>
        <w:jc w:val="center"/>
        <w:tblInd w:w="-236"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656"/>
        <w:gridCol w:w="1665"/>
        <w:gridCol w:w="1081"/>
        <w:gridCol w:w="1114"/>
        <w:gridCol w:w="1745"/>
        <w:gridCol w:w="227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941" w:hRule="atLeast"/>
          <w:jc w:val="center"/>
        </w:trPr>
        <w:tc>
          <w:tcPr>
            <w:tcW w:w="1656" w:type="dxa"/>
            <w:vMerge w:val="restart"/>
            <w:tcBorders>
              <w:bottom w:val="single" w:color="000000"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浆砌、铺装的混凝土边沟、护坡</w:t>
            </w:r>
          </w:p>
        </w:tc>
        <w:tc>
          <w:tcPr>
            <w:tcW w:w="1665" w:type="dxa"/>
            <w:vMerge w:val="restart"/>
            <w:tcBorders>
              <w:left w:val="single" w:color="auto" w:sz="4" w:space="0"/>
              <w:bottom w:val="single" w:color="000000"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一般土路、边沟护坡</w:t>
            </w:r>
          </w:p>
        </w:tc>
        <w:tc>
          <w:tcPr>
            <w:tcW w:w="2195" w:type="dxa"/>
            <w:gridSpan w:val="2"/>
            <w:tcBorders>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混凝土</w:t>
            </w:r>
            <w:r>
              <w:rPr>
                <w:rFonts w:hint="default" w:ascii="Times New Roman" w:hAnsi="Times New Roman" w:eastAsia="仿宋_GB2312" w:cs="Times New Roman"/>
                <w:color w:val="auto"/>
                <w:kern w:val="0"/>
                <w:sz w:val="24"/>
                <w:szCs w:val="24"/>
              </w:rPr>
              <w:t>路沿石</w:t>
            </w:r>
          </w:p>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（元／米）</w:t>
            </w:r>
          </w:p>
        </w:tc>
        <w:tc>
          <w:tcPr>
            <w:tcW w:w="1745" w:type="dxa"/>
            <w:vMerge w:val="restart"/>
            <w:tcBorders>
              <w:left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混凝土</w:t>
            </w:r>
            <w:r>
              <w:rPr>
                <w:rFonts w:hint="default" w:ascii="Times New Roman" w:hAnsi="Times New Roman" w:eastAsia="仿宋_GB2312" w:cs="Times New Roman"/>
                <w:color w:val="auto"/>
                <w:kern w:val="0"/>
                <w:sz w:val="24"/>
                <w:szCs w:val="24"/>
              </w:rPr>
              <w:t>路肩石</w:t>
            </w:r>
          </w:p>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（元／米）</w:t>
            </w:r>
          </w:p>
        </w:tc>
        <w:tc>
          <w:tcPr>
            <w:tcW w:w="2272" w:type="dxa"/>
            <w:vMerge w:val="restart"/>
            <w:tcBorders>
              <w:lef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路基</w:t>
            </w:r>
          </w:p>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（元／立方米）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25" w:hRule="atLeast"/>
          <w:jc w:val="center"/>
        </w:trPr>
        <w:tc>
          <w:tcPr>
            <w:tcW w:w="1656" w:type="dxa"/>
            <w:vMerge w:val="continue"/>
            <w:tcBorders>
              <w:top w:val="single" w:color="000000" w:sz="4" w:space="0"/>
              <w:bottom w:val="single" w:color="000000"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p>
        </w:tc>
        <w:tc>
          <w:tcPr>
            <w:tcW w:w="1665"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p>
        </w:tc>
        <w:tc>
          <w:tcPr>
            <w:tcW w:w="108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L型</w:t>
            </w:r>
          </w:p>
        </w:tc>
        <w:tc>
          <w:tcPr>
            <w:tcW w:w="111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条型</w:t>
            </w:r>
          </w:p>
        </w:tc>
        <w:tc>
          <w:tcPr>
            <w:tcW w:w="1745" w:type="dxa"/>
            <w:vMerge w:val="continue"/>
            <w:tcBorders>
              <w:left w:val="single" w:color="auto" w:sz="4" w:space="0"/>
              <w:bottom w:val="single" w:color="000000"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p>
        </w:tc>
        <w:tc>
          <w:tcPr>
            <w:tcW w:w="2272" w:type="dxa"/>
            <w:vMerge w:val="continue"/>
            <w:tcBorders>
              <w:left w:val="single" w:color="auto" w:sz="4" w:space="0"/>
              <w:bottom w:val="single" w:color="000000" w:sz="4" w:space="0"/>
            </w:tcBorders>
            <w:vAlign w:val="center"/>
          </w:tcPr>
          <w:p>
            <w:pPr>
              <w:widowControl/>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24" w:hRule="atLeast"/>
          <w:jc w:val="center"/>
        </w:trPr>
        <w:tc>
          <w:tcPr>
            <w:tcW w:w="1656" w:type="dxa"/>
            <w:tcBorders>
              <w:top w:val="single" w:color="000000"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261.00</w:t>
            </w:r>
          </w:p>
        </w:tc>
        <w:tc>
          <w:tcPr>
            <w:tcW w:w="1665" w:type="dxa"/>
            <w:tcBorders>
              <w:top w:val="nil"/>
              <w:left w:val="nil"/>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80.00</w:t>
            </w:r>
          </w:p>
        </w:tc>
        <w:tc>
          <w:tcPr>
            <w:tcW w:w="1081" w:type="dxa"/>
            <w:tcBorders>
              <w:top w:val="nil"/>
              <w:left w:val="nil"/>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45.00</w:t>
            </w:r>
          </w:p>
        </w:tc>
        <w:tc>
          <w:tcPr>
            <w:tcW w:w="1114" w:type="dxa"/>
            <w:tcBorders>
              <w:top w:val="nil"/>
              <w:left w:val="nil"/>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30.00</w:t>
            </w:r>
          </w:p>
        </w:tc>
        <w:tc>
          <w:tcPr>
            <w:tcW w:w="1745" w:type="dxa"/>
            <w:tcBorders>
              <w:top w:val="nil"/>
              <w:left w:val="nil"/>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16.00</w:t>
            </w:r>
          </w:p>
        </w:tc>
        <w:tc>
          <w:tcPr>
            <w:tcW w:w="2272" w:type="dxa"/>
            <w:tcBorders>
              <w:top w:val="nil"/>
              <w:left w:val="nil"/>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150.00</w:t>
            </w:r>
          </w:p>
        </w:tc>
      </w:tr>
    </w:tbl>
    <w:p>
      <w:pPr>
        <w:keepNext w:val="0"/>
        <w:keepLines w:val="0"/>
        <w:pageBreakBefore w:val="0"/>
        <w:widowControl w:val="0"/>
        <w:tabs>
          <w:tab w:val="left" w:pos="343"/>
        </w:tabs>
        <w:kinsoku/>
        <w:wordWrap/>
        <w:overflowPunct/>
        <w:topLinePunct w:val="0"/>
        <w:autoSpaceDE/>
        <w:autoSpaceDN/>
        <w:bidi w:val="0"/>
        <w:adjustRightInd/>
        <w:snapToGrid/>
        <w:spacing w:before="680" w:line="200" w:lineRule="exact"/>
        <w:ind w:firstLine="480" w:firstLineChars="200"/>
        <w:textAlignment w:val="auto"/>
        <w:rPr>
          <w:rFonts w:hint="default" w:ascii="Times New Roman" w:hAnsi="Times New Roman" w:eastAsia="仿宋_GB2312" w:cs="Times New Roman"/>
          <w:color w:val="auto"/>
          <w:sz w:val="20"/>
          <w:szCs w:val="22"/>
        </w:rPr>
      </w:pPr>
      <w:r>
        <w:rPr>
          <w:rFonts w:hint="default" w:ascii="Times New Roman" w:hAnsi="Times New Roman" w:eastAsia="仿宋_GB2312" w:cs="Times New Roman"/>
          <w:color w:val="auto"/>
          <w:sz w:val="24"/>
          <w:szCs w:val="22"/>
        </w:rPr>
        <w:t>一、收费总额＝取费标准</w:t>
      </w:r>
      <w:r>
        <w:rPr>
          <w:rFonts w:hint="default" w:ascii="Arial" w:hAnsi="Arial" w:eastAsia="仿宋_GB2312" w:cs="Arial"/>
          <w:color w:val="auto"/>
          <w:sz w:val="24"/>
          <w:szCs w:val="22"/>
        </w:rPr>
        <w:t>×</w:t>
      </w:r>
      <w:r>
        <w:rPr>
          <w:rFonts w:hint="default" w:ascii="Times New Roman" w:hAnsi="Times New Roman" w:eastAsia="仿宋_GB2312" w:cs="Times New Roman"/>
          <w:color w:val="auto"/>
          <w:sz w:val="24"/>
          <w:szCs w:val="22"/>
        </w:rPr>
        <w:t>建成周期系数</w:t>
      </w:r>
      <w:r>
        <w:rPr>
          <w:rFonts w:hint="default" w:ascii="Arial" w:hAnsi="Arial" w:eastAsia="仿宋_GB2312" w:cs="Arial"/>
          <w:color w:val="auto"/>
          <w:sz w:val="24"/>
          <w:szCs w:val="22"/>
        </w:rPr>
        <w:t>×</w:t>
      </w:r>
      <w:r>
        <w:rPr>
          <w:rFonts w:hint="default" w:ascii="Times New Roman" w:hAnsi="Times New Roman" w:eastAsia="仿宋_GB2312" w:cs="Times New Roman"/>
          <w:color w:val="auto"/>
          <w:sz w:val="24"/>
          <w:szCs w:val="22"/>
        </w:rPr>
        <w:t>冬季系数</w:t>
      </w:r>
    </w:p>
    <w:p>
      <w:pPr>
        <w:spacing w:line="380" w:lineRule="exact"/>
        <w:ind w:firstLine="480" w:firstLineChars="200"/>
        <w:rPr>
          <w:rFonts w:hint="default" w:ascii="Times New Roman" w:hAnsi="Times New Roman" w:eastAsia="仿宋_GB2312" w:cs="Times New Roman"/>
          <w:color w:val="auto"/>
          <w:sz w:val="20"/>
          <w:szCs w:val="22"/>
        </w:rPr>
      </w:pPr>
      <w:r>
        <w:rPr>
          <w:rFonts w:hint="default" w:ascii="Times New Roman" w:hAnsi="Times New Roman" w:eastAsia="仿宋_GB2312" w:cs="Times New Roman"/>
          <w:color w:val="auto"/>
          <w:sz w:val="24"/>
          <w:szCs w:val="22"/>
        </w:rPr>
        <w:t>1、建成周期系数：</w:t>
      </w:r>
    </w:p>
    <w:p>
      <w:pPr>
        <w:tabs>
          <w:tab w:val="left" w:pos="5245"/>
        </w:tabs>
        <w:spacing w:line="340" w:lineRule="exact"/>
        <w:ind w:firstLine="519" w:firstLineChars="236"/>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（1）新建</w:t>
      </w:r>
      <w:r>
        <w:rPr>
          <w:rFonts w:hint="default" w:ascii="Times New Roman" w:hAnsi="Times New Roman" w:eastAsia="仿宋_GB2312" w:cs="Times New Roman"/>
          <w:color w:val="auto"/>
          <w:sz w:val="22"/>
          <w:szCs w:val="22"/>
          <w:lang w:eastAsia="zh-CN"/>
        </w:rPr>
        <w:t>、</w:t>
      </w:r>
      <w:r>
        <w:rPr>
          <w:rFonts w:hint="default" w:ascii="Times New Roman" w:hAnsi="Times New Roman" w:eastAsia="仿宋_GB2312" w:cs="Times New Roman"/>
          <w:color w:val="auto"/>
          <w:sz w:val="22"/>
          <w:szCs w:val="22"/>
          <w:lang w:val="en-US" w:eastAsia="zh-CN"/>
        </w:rPr>
        <w:t>改建、扩建</w:t>
      </w:r>
      <w:r>
        <w:rPr>
          <w:rFonts w:hint="default" w:ascii="Times New Roman" w:hAnsi="Times New Roman" w:eastAsia="仿宋_GB2312" w:cs="Times New Roman"/>
          <w:color w:val="auto"/>
          <w:sz w:val="22"/>
          <w:szCs w:val="22"/>
        </w:rPr>
        <w:t>道路开挖：一年内：3.00</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ab/>
      </w:r>
      <w:r>
        <w:rPr>
          <w:rFonts w:hint="default" w:ascii="Times New Roman" w:hAnsi="Times New Roman" w:eastAsia="仿宋_GB2312" w:cs="Times New Roman"/>
          <w:color w:val="auto"/>
          <w:sz w:val="22"/>
          <w:szCs w:val="22"/>
        </w:rPr>
        <w:t>大修道路开挖：</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一年内：2.00</w:t>
      </w:r>
    </w:p>
    <w:p>
      <w:pPr>
        <w:tabs>
          <w:tab w:val="left" w:pos="6946"/>
        </w:tabs>
        <w:spacing w:line="320" w:lineRule="exact"/>
        <w:ind w:firstLine="2598" w:firstLineChars="1181"/>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二年内：2.50</w:t>
      </w:r>
      <w:r>
        <w:rPr>
          <w:rFonts w:hint="default" w:ascii="Times New Roman" w:hAnsi="Times New Roman" w:eastAsia="仿宋_GB2312" w:cs="Times New Roman"/>
          <w:color w:val="auto"/>
          <w:sz w:val="22"/>
          <w:szCs w:val="22"/>
        </w:rPr>
        <w:tab/>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二年内：1.50</w:t>
      </w:r>
    </w:p>
    <w:p>
      <w:pPr>
        <w:tabs>
          <w:tab w:val="left" w:pos="6946"/>
        </w:tabs>
        <w:spacing w:line="380" w:lineRule="exact"/>
        <w:ind w:firstLine="2598" w:firstLineChars="1181"/>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三年内：2.00</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二年以上</w:t>
      </w:r>
      <w:r>
        <w:rPr>
          <w:rFonts w:hint="default" w:ascii="Times New Roman" w:hAnsi="Times New Roman" w:eastAsia="仿宋_GB2312" w:cs="Times New Roman"/>
          <w:color w:val="auto"/>
          <w:sz w:val="22"/>
          <w:szCs w:val="22"/>
          <w:lang w:eastAsia="zh-CN"/>
        </w:rPr>
        <w:t>：</w:t>
      </w:r>
      <w:r>
        <w:rPr>
          <w:rFonts w:hint="default" w:ascii="Times New Roman" w:hAnsi="Times New Roman" w:eastAsia="仿宋_GB2312" w:cs="Times New Roman"/>
          <w:color w:val="auto"/>
          <w:sz w:val="22"/>
          <w:szCs w:val="22"/>
        </w:rPr>
        <w:t>1.</w:t>
      </w:r>
      <w:r>
        <w:rPr>
          <w:rFonts w:hint="default" w:ascii="Times New Roman" w:hAnsi="Times New Roman" w:eastAsia="仿宋_GB2312" w:cs="Times New Roman"/>
          <w:color w:val="auto"/>
          <w:sz w:val="22"/>
          <w:szCs w:val="22"/>
          <w:lang w:val="en-US" w:eastAsia="zh-CN"/>
        </w:rPr>
        <w:t>0</w:t>
      </w:r>
      <w:r>
        <w:rPr>
          <w:rFonts w:hint="default" w:ascii="Times New Roman" w:hAnsi="Times New Roman" w:eastAsia="仿宋_GB2312" w:cs="Times New Roman"/>
          <w:color w:val="auto"/>
          <w:sz w:val="22"/>
          <w:szCs w:val="22"/>
        </w:rPr>
        <w:t>0</w:t>
      </w:r>
    </w:p>
    <w:p>
      <w:pPr>
        <w:spacing w:line="380" w:lineRule="exact"/>
        <w:ind w:firstLine="2598" w:firstLineChars="1181"/>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四年内：1.50</w:t>
      </w:r>
    </w:p>
    <w:p>
      <w:pPr>
        <w:spacing w:line="380" w:lineRule="exact"/>
        <w:ind w:firstLine="2598" w:firstLineChars="1181"/>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四年以上：1.00</w:t>
      </w:r>
    </w:p>
    <w:p>
      <w:pPr>
        <w:tabs>
          <w:tab w:val="left" w:pos="5245"/>
        </w:tabs>
        <w:spacing w:line="340" w:lineRule="exact"/>
        <w:ind w:firstLine="519" w:firstLineChars="236"/>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（2）每年11月至次年3月开挖城市道路需乘冬季系数，冬季系数为2.00。</w:t>
      </w:r>
    </w:p>
    <w:p>
      <w:pPr>
        <w:spacing w:line="380" w:lineRule="exact"/>
        <w:ind w:firstLine="440" w:firstLineChars="20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2、若挖掘后方砖、路沿石等无破损，可重复利用，修复收费应扣除此项材料款。</w:t>
      </w:r>
    </w:p>
    <w:p>
      <w:pPr>
        <w:spacing w:line="380" w:lineRule="exact"/>
        <w:ind w:firstLine="440" w:firstLineChars="20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3、挖掘时损坏其他市政设施，按实际需要收取修复费用。</w:t>
      </w:r>
    </w:p>
    <w:p>
      <w:pPr>
        <w:spacing w:line="380" w:lineRule="exact"/>
        <w:ind w:firstLine="440" w:firstLineChars="20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二、路面工程实际结构与规定标准结构（详见《适用路面结构厚度表》）不同时，基价按下列系数调整：</w:t>
      </w:r>
    </w:p>
    <w:p>
      <w:pPr>
        <w:spacing w:line="380" w:lineRule="exact"/>
        <w:ind w:firstLine="440" w:firstLineChars="20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1、面层调整系数：沥青混凝土 快速、主干路 每增减1cm   1±0.03</w:t>
      </w:r>
    </w:p>
    <w:p>
      <w:pPr>
        <w:spacing w:line="380" w:lineRule="exact"/>
        <w:ind w:firstLine="4197" w:firstLineChars="1908"/>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次干路 每增减1cm</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 xml:space="preserve"> 1±0.06</w:t>
      </w:r>
    </w:p>
    <w:p>
      <w:pPr>
        <w:spacing w:line="380" w:lineRule="exact"/>
        <w:ind w:firstLine="2279" w:firstLineChars="1036"/>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xml:space="preserve">水泥混凝土 </w:t>
      </w:r>
      <w:r>
        <w:rPr>
          <w:rFonts w:hint="eastAsia" w:cs="Times New Roman"/>
          <w:color w:val="auto"/>
          <w:sz w:val="22"/>
          <w:szCs w:val="22"/>
          <w:lang w:eastAsia="zh-CN"/>
        </w:rPr>
        <w:t>不分</w:t>
      </w:r>
      <w:r>
        <w:rPr>
          <w:rFonts w:hint="default" w:ascii="Times New Roman" w:hAnsi="Times New Roman" w:eastAsia="仿宋_GB2312" w:cs="Times New Roman"/>
          <w:color w:val="auto"/>
          <w:sz w:val="22"/>
          <w:szCs w:val="22"/>
        </w:rPr>
        <w:t>道路等级 每增减1cm</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1±0.03</w:t>
      </w:r>
    </w:p>
    <w:p>
      <w:pPr>
        <w:spacing w:line="380" w:lineRule="exact"/>
        <w:ind w:firstLine="440" w:firstLineChars="200"/>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xml:space="preserve">2、基层调整系数：沥青混凝土 快速、主干路 每增减1cm </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1±0.006</w:t>
      </w:r>
    </w:p>
    <w:p>
      <w:pPr>
        <w:spacing w:line="380" w:lineRule="exact"/>
        <w:ind w:firstLine="4197" w:firstLineChars="1908"/>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 xml:space="preserve">次干路 每增减1cm </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1±0.01</w:t>
      </w:r>
    </w:p>
    <w:p>
      <w:pPr>
        <w:spacing w:line="380" w:lineRule="exact"/>
        <w:ind w:firstLine="2279" w:firstLineChars="1036"/>
        <w:rPr>
          <w:rFonts w:hint="default" w:ascii="Times New Roman" w:hAnsi="Times New Roman" w:eastAsia="方正小标宋简体" w:cs="Times New Roman"/>
          <w:b w:val="0"/>
          <w:bCs/>
          <w:color w:val="auto"/>
          <w:sz w:val="28"/>
          <w:szCs w:val="22"/>
        </w:rPr>
      </w:pPr>
      <w:r>
        <w:rPr>
          <w:rFonts w:hint="default" w:ascii="Times New Roman" w:hAnsi="Times New Roman" w:eastAsia="仿宋_GB2312" w:cs="Times New Roman"/>
          <w:color w:val="auto"/>
          <w:sz w:val="22"/>
          <w:szCs w:val="22"/>
        </w:rPr>
        <w:t xml:space="preserve">水泥混凝土 </w:t>
      </w:r>
      <w:r>
        <w:rPr>
          <w:rFonts w:hint="eastAsia" w:cs="Times New Roman"/>
          <w:color w:val="auto"/>
          <w:sz w:val="22"/>
          <w:szCs w:val="22"/>
          <w:lang w:eastAsia="zh-CN"/>
        </w:rPr>
        <w:t>不</w:t>
      </w:r>
      <w:r>
        <w:rPr>
          <w:rFonts w:hint="default" w:ascii="Times New Roman" w:hAnsi="Times New Roman" w:eastAsia="仿宋_GB2312" w:cs="Times New Roman"/>
          <w:color w:val="auto"/>
          <w:sz w:val="22"/>
          <w:szCs w:val="22"/>
        </w:rPr>
        <w:t xml:space="preserve">分道路等级 每增减1cm </w:t>
      </w:r>
      <w:r>
        <w:rPr>
          <w:rFonts w:hint="default" w:ascii="Times New Roman" w:hAnsi="Times New Roman" w:eastAsia="仿宋_GB2312" w:cs="Times New Roman"/>
          <w:color w:val="auto"/>
          <w:sz w:val="22"/>
          <w:szCs w:val="22"/>
          <w:lang w:val="en-US" w:eastAsia="zh-CN"/>
        </w:rPr>
        <w:t xml:space="preserve">   </w:t>
      </w:r>
      <w:r>
        <w:rPr>
          <w:rFonts w:hint="default" w:ascii="Times New Roman" w:hAnsi="Times New Roman" w:eastAsia="仿宋_GB2312" w:cs="Times New Roman"/>
          <w:color w:val="auto"/>
          <w:sz w:val="22"/>
          <w:szCs w:val="22"/>
        </w:rPr>
        <w:t>1±0.001</w:t>
      </w:r>
    </w:p>
    <w:p>
      <w:pPr>
        <w:spacing w:after="60" w:line="520" w:lineRule="exact"/>
        <w:jc w:val="center"/>
        <w:rPr>
          <w:rFonts w:hint="default" w:ascii="Times New Roman" w:hAnsi="Times New Roman" w:eastAsia="方正小标宋简体" w:cs="Times New Roman"/>
          <w:b w:val="0"/>
          <w:bCs/>
          <w:color w:val="auto"/>
          <w:sz w:val="28"/>
          <w:szCs w:val="22"/>
        </w:rPr>
      </w:pPr>
    </w:p>
    <w:p>
      <w:pPr>
        <w:spacing w:after="60" w:line="520" w:lineRule="exact"/>
        <w:jc w:val="center"/>
        <w:rPr>
          <w:rFonts w:hint="default" w:ascii="Times New Roman" w:hAnsi="Times New Roman" w:eastAsia="方正小标宋简体" w:cs="Times New Roman"/>
          <w:b w:val="0"/>
          <w:bCs/>
          <w:color w:val="auto"/>
          <w:sz w:val="20"/>
          <w:szCs w:val="22"/>
          <w:lang w:eastAsia="zh-CN"/>
        </w:rPr>
      </w:pPr>
      <w:r>
        <w:rPr>
          <w:rFonts w:hint="default" w:ascii="Times New Roman" w:hAnsi="Times New Roman" w:eastAsia="方正小标宋简体" w:cs="Times New Roman"/>
          <w:b w:val="0"/>
          <w:bCs/>
          <w:color w:val="auto"/>
          <w:sz w:val="28"/>
          <w:szCs w:val="22"/>
        </w:rPr>
        <w:t>适用路面结构厚度表</w:t>
      </w:r>
      <w:r>
        <w:rPr>
          <w:rFonts w:hint="default" w:ascii="Times New Roman" w:hAnsi="Times New Roman" w:eastAsia="方正小标宋简体" w:cs="Times New Roman"/>
          <w:b w:val="0"/>
          <w:bCs/>
          <w:color w:val="auto"/>
          <w:sz w:val="28"/>
          <w:szCs w:val="22"/>
          <w:lang w:eastAsia="zh-CN"/>
        </w:rPr>
        <w:t>（</w:t>
      </w:r>
      <w:r>
        <w:rPr>
          <w:rFonts w:hint="default" w:ascii="Times New Roman" w:hAnsi="Times New Roman" w:eastAsia="方正小标宋简体" w:cs="Times New Roman"/>
          <w:b w:val="0"/>
          <w:bCs/>
          <w:color w:val="auto"/>
          <w:sz w:val="28"/>
          <w:szCs w:val="22"/>
          <w:lang w:val="en-US" w:eastAsia="zh-CN"/>
        </w:rPr>
        <w:t>参考</w:t>
      </w:r>
      <w:r>
        <w:rPr>
          <w:rFonts w:hint="default" w:ascii="Times New Roman" w:hAnsi="Times New Roman" w:eastAsia="方正小标宋简体" w:cs="Times New Roman"/>
          <w:b w:val="0"/>
          <w:bCs/>
          <w:color w:val="auto"/>
          <w:sz w:val="28"/>
          <w:szCs w:val="22"/>
          <w:lang w:eastAsia="zh-CN"/>
        </w:rPr>
        <w:t>）</w:t>
      </w:r>
    </w:p>
    <w:p>
      <w:pPr>
        <w:spacing w:line="420" w:lineRule="exact"/>
        <w:jc w:val="right"/>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单位：厘米</w:t>
      </w:r>
    </w:p>
    <w:tbl>
      <w:tblPr>
        <w:tblStyle w:val="8"/>
        <w:tblW w:w="8851" w:type="dxa"/>
        <w:jc w:val="center"/>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087"/>
        <w:gridCol w:w="2093"/>
        <w:gridCol w:w="765"/>
        <w:gridCol w:w="730"/>
        <w:gridCol w:w="749"/>
        <w:gridCol w:w="840"/>
        <w:gridCol w:w="840"/>
        <w:gridCol w:w="840"/>
        <w:gridCol w:w="90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cantSplit/>
          <w:trHeight w:val="415" w:hRule="atLeast"/>
          <w:jc w:val="center"/>
        </w:trPr>
        <w:tc>
          <w:tcPr>
            <w:tcW w:w="1087" w:type="dxa"/>
            <w:vMerge w:val="restart"/>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道路</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等级</w:t>
            </w:r>
          </w:p>
        </w:tc>
        <w:tc>
          <w:tcPr>
            <w:tcW w:w="2093"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路面类型</w:t>
            </w:r>
          </w:p>
        </w:tc>
        <w:tc>
          <w:tcPr>
            <w:tcW w:w="1495" w:type="dxa"/>
            <w:gridSpan w:val="2"/>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ind w:firstLine="480" w:firstLineChars="200"/>
              <w:jc w:val="both"/>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面层</w:t>
            </w:r>
          </w:p>
        </w:tc>
        <w:tc>
          <w:tcPr>
            <w:tcW w:w="2429" w:type="dxa"/>
            <w:gridSpan w:val="3"/>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基层</w:t>
            </w:r>
          </w:p>
        </w:tc>
        <w:tc>
          <w:tcPr>
            <w:tcW w:w="840" w:type="dxa"/>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垫层</w:t>
            </w:r>
          </w:p>
        </w:tc>
        <w:tc>
          <w:tcPr>
            <w:tcW w:w="907" w:type="dxa"/>
            <w:vMerge w:val="restart"/>
            <w:tcBorders>
              <w:left w:val="nil"/>
            </w:tcBorders>
            <w:textDirection w:val="tbRlV"/>
            <w:vAlign w:val="center"/>
          </w:tcPr>
          <w:p>
            <w:pPr>
              <w:keepNext w:val="0"/>
              <w:keepLines w:val="0"/>
              <w:pageBreakBefore w:val="0"/>
              <w:widowControl/>
              <w:kinsoku/>
              <w:wordWrap/>
              <w:overflowPunct/>
              <w:topLinePunct w:val="0"/>
              <w:autoSpaceDE/>
              <w:autoSpaceDN/>
              <w:bidi w:val="0"/>
              <w:adjustRightInd/>
              <w:snapToGrid/>
              <w:spacing w:line="420" w:lineRule="exact"/>
              <w:ind w:left="113" w:right="113"/>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总厚度</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cantSplit/>
          <w:trHeight w:val="2568" w:hRule="atLeast"/>
          <w:jc w:val="center"/>
        </w:trPr>
        <w:tc>
          <w:tcPr>
            <w:tcW w:w="1087" w:type="dxa"/>
            <w:vMerge w:val="continue"/>
            <w:tcBorders>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p>
        </w:tc>
        <w:tc>
          <w:tcPr>
            <w:tcW w:w="209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p>
        </w:tc>
        <w:tc>
          <w:tcPr>
            <w:tcW w:w="765" w:type="dxa"/>
            <w:tcBorders>
              <w:left w:val="nil"/>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420" w:lineRule="exact"/>
              <w:ind w:right="113" w:firstLine="720" w:firstLineChars="300"/>
              <w:jc w:val="both"/>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沥青混凝土面层 </w:t>
            </w:r>
          </w:p>
        </w:tc>
        <w:tc>
          <w:tcPr>
            <w:tcW w:w="730" w:type="dxa"/>
            <w:tcBorders>
              <w:left w:val="nil"/>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420" w:lineRule="exact"/>
              <w:ind w:left="113" w:right="113" w:firstLine="480" w:firstLineChars="200"/>
              <w:jc w:val="both"/>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水泥混凝土面层</w:t>
            </w:r>
          </w:p>
        </w:tc>
        <w:tc>
          <w:tcPr>
            <w:tcW w:w="749" w:type="dxa"/>
            <w:tcBorders>
              <w:left w:val="nil"/>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420" w:lineRule="exact"/>
              <w:ind w:left="113" w:right="113"/>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沥青碎石基层</w:t>
            </w:r>
          </w:p>
        </w:tc>
        <w:tc>
          <w:tcPr>
            <w:tcW w:w="840" w:type="dxa"/>
            <w:tcBorders>
              <w:left w:val="nil"/>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420" w:lineRule="exact"/>
              <w:ind w:left="113" w:right="113"/>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水泥稳定</w:t>
            </w:r>
            <w:r>
              <w:rPr>
                <w:rFonts w:hint="default" w:ascii="Times New Roman" w:hAnsi="Times New Roman" w:eastAsia="仿宋_GB2312" w:cs="Times New Roman"/>
                <w:color w:val="auto"/>
                <w:kern w:val="0"/>
                <w:sz w:val="24"/>
                <w:szCs w:val="24"/>
                <w:lang w:val="en-US" w:eastAsia="zh-CN"/>
              </w:rPr>
              <w:t>碎石基层</w:t>
            </w:r>
          </w:p>
        </w:tc>
        <w:tc>
          <w:tcPr>
            <w:tcW w:w="840" w:type="dxa"/>
            <w:tcBorders>
              <w:left w:val="nil"/>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420" w:lineRule="exact"/>
              <w:ind w:left="113" w:right="113"/>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级配砂砾基层</w:t>
            </w:r>
          </w:p>
        </w:tc>
        <w:tc>
          <w:tcPr>
            <w:tcW w:w="840" w:type="dxa"/>
            <w:tcBorders>
              <w:left w:val="nil"/>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420" w:lineRule="exact"/>
              <w:ind w:left="113" w:right="113"/>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碎石垫层</w:t>
            </w:r>
          </w:p>
        </w:tc>
        <w:tc>
          <w:tcPr>
            <w:tcW w:w="907" w:type="dxa"/>
            <w:vMerge w:val="continue"/>
            <w:tcBorders>
              <w:left w:val="nil"/>
              <w:bottom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napToGrid/>
              <w:spacing w:line="420" w:lineRule="exact"/>
              <w:ind w:left="113" w:right="113"/>
              <w:jc w:val="center"/>
              <w:textAlignment w:val="auto"/>
              <w:rPr>
                <w:rFonts w:hint="default"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0" w:hRule="atLeast"/>
          <w:jc w:val="center"/>
        </w:trPr>
        <w:tc>
          <w:tcPr>
            <w:tcW w:w="1087" w:type="dxa"/>
            <w:vMerge w:val="restart"/>
            <w:tcBorders>
              <w:top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城市</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快速路</w:t>
            </w:r>
          </w:p>
        </w:tc>
        <w:tc>
          <w:tcPr>
            <w:tcW w:w="209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水泥混凝土路面</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7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28</w:t>
            </w:r>
          </w:p>
        </w:tc>
        <w:tc>
          <w:tcPr>
            <w:tcW w:w="7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30</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50</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4"/>
                <w:szCs w:val="24"/>
              </w:rPr>
              <w:t>—</w:t>
            </w:r>
          </w:p>
        </w:tc>
        <w:tc>
          <w:tcPr>
            <w:tcW w:w="907" w:type="dxa"/>
            <w:tcBorders>
              <w:top w:val="nil"/>
              <w:left w:val="nil"/>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4"/>
                <w:szCs w:val="24"/>
              </w:rPr>
              <w:t>108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0" w:hRule="atLeast"/>
          <w:jc w:val="center"/>
        </w:trPr>
        <w:tc>
          <w:tcPr>
            <w:tcW w:w="1087" w:type="dxa"/>
            <w:vMerge w:val="continue"/>
            <w:tcBorders>
              <w:top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p>
        </w:tc>
        <w:tc>
          <w:tcPr>
            <w:tcW w:w="20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沥青混凝土路面</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rPr>
              <w:t>11</w:t>
            </w:r>
          </w:p>
        </w:tc>
        <w:tc>
          <w:tcPr>
            <w:tcW w:w="7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4"/>
                <w:szCs w:val="24"/>
              </w:rPr>
              <w:t>—</w:t>
            </w:r>
          </w:p>
        </w:tc>
        <w:tc>
          <w:tcPr>
            <w:tcW w:w="7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rPr>
              <w:t>6</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rPr>
              <w:t>45</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4"/>
                <w:szCs w:val="24"/>
              </w:rPr>
              <w:t>—</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4"/>
                <w:szCs w:val="24"/>
              </w:rPr>
              <w:t>15</w:t>
            </w:r>
          </w:p>
        </w:tc>
        <w:tc>
          <w:tcPr>
            <w:tcW w:w="907" w:type="dxa"/>
            <w:tcBorders>
              <w:top w:val="nil"/>
              <w:left w:val="nil"/>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rPr>
              <w:t>77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0" w:hRule="atLeast"/>
          <w:jc w:val="center"/>
        </w:trPr>
        <w:tc>
          <w:tcPr>
            <w:tcW w:w="1087" w:type="dxa"/>
            <w:vMerge w:val="restart"/>
            <w:tcBorders>
              <w:top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城市</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主干路</w:t>
            </w:r>
          </w:p>
        </w:tc>
        <w:tc>
          <w:tcPr>
            <w:tcW w:w="20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水泥混凝土路面</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4"/>
                <w:szCs w:val="24"/>
              </w:rPr>
              <w:t>—</w:t>
            </w:r>
          </w:p>
        </w:tc>
        <w:tc>
          <w:tcPr>
            <w:tcW w:w="7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4"/>
                <w:szCs w:val="24"/>
              </w:rPr>
              <w:t>24</w:t>
            </w:r>
          </w:p>
        </w:tc>
        <w:tc>
          <w:tcPr>
            <w:tcW w:w="7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4"/>
                <w:szCs w:val="24"/>
              </w:rPr>
              <w:t>—</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4"/>
                <w:szCs w:val="24"/>
              </w:rPr>
              <w:t>30</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4"/>
                <w:szCs w:val="24"/>
              </w:rPr>
              <w:t>30</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4"/>
                <w:szCs w:val="24"/>
              </w:rPr>
              <w:t>—</w:t>
            </w:r>
          </w:p>
        </w:tc>
        <w:tc>
          <w:tcPr>
            <w:tcW w:w="907" w:type="dxa"/>
            <w:tcBorders>
              <w:top w:val="nil"/>
              <w:left w:val="nil"/>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4"/>
                <w:szCs w:val="24"/>
              </w:rPr>
              <w:t>84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0" w:hRule="atLeast"/>
          <w:jc w:val="center"/>
        </w:trPr>
        <w:tc>
          <w:tcPr>
            <w:tcW w:w="1087" w:type="dxa"/>
            <w:vMerge w:val="continue"/>
            <w:tcBorders>
              <w:top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p>
        </w:tc>
        <w:tc>
          <w:tcPr>
            <w:tcW w:w="20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沥青混凝土路面</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rPr>
              <w:t>9</w:t>
            </w:r>
          </w:p>
        </w:tc>
        <w:tc>
          <w:tcPr>
            <w:tcW w:w="7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4"/>
                <w:szCs w:val="24"/>
              </w:rPr>
              <w:t>—</w:t>
            </w:r>
          </w:p>
        </w:tc>
        <w:tc>
          <w:tcPr>
            <w:tcW w:w="7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rPr>
              <w:t>3</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rPr>
              <w:t>—</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4"/>
                <w:szCs w:val="24"/>
              </w:rPr>
              <w:t>45</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4"/>
                <w:szCs w:val="24"/>
              </w:rPr>
              <w:t>15</w:t>
            </w:r>
          </w:p>
        </w:tc>
        <w:tc>
          <w:tcPr>
            <w:tcW w:w="907" w:type="dxa"/>
            <w:tcBorders>
              <w:top w:val="nil"/>
              <w:left w:val="nil"/>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rPr>
              <w:t>72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0" w:hRule="atLeast"/>
          <w:jc w:val="center"/>
        </w:trPr>
        <w:tc>
          <w:tcPr>
            <w:tcW w:w="1087" w:type="dxa"/>
            <w:vMerge w:val="restart"/>
            <w:tcBorders>
              <w:top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城市</w:t>
            </w:r>
          </w:p>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次干路</w:t>
            </w:r>
          </w:p>
        </w:tc>
        <w:tc>
          <w:tcPr>
            <w:tcW w:w="20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水泥混凝土路面</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4"/>
                <w:szCs w:val="24"/>
              </w:rPr>
              <w:t>—</w:t>
            </w:r>
          </w:p>
        </w:tc>
        <w:tc>
          <w:tcPr>
            <w:tcW w:w="73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4"/>
                <w:szCs w:val="24"/>
              </w:rPr>
              <w:t>18</w:t>
            </w:r>
          </w:p>
        </w:tc>
        <w:tc>
          <w:tcPr>
            <w:tcW w:w="74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4"/>
                <w:szCs w:val="24"/>
              </w:rPr>
              <w:t>—</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4"/>
                <w:szCs w:val="24"/>
              </w:rPr>
              <w:t>—</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4"/>
                <w:szCs w:val="24"/>
              </w:rPr>
              <w:t>—</w:t>
            </w:r>
          </w:p>
        </w:tc>
        <w:tc>
          <w:tcPr>
            <w:tcW w:w="84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color w:val="auto"/>
                <w:kern w:val="0"/>
                <w:sz w:val="24"/>
                <w:szCs w:val="24"/>
              </w:rPr>
              <w:t>20</w:t>
            </w:r>
          </w:p>
        </w:tc>
        <w:tc>
          <w:tcPr>
            <w:tcW w:w="907" w:type="dxa"/>
            <w:tcBorders>
              <w:top w:val="nil"/>
              <w:left w:val="nil"/>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4"/>
                <w:szCs w:val="24"/>
              </w:rPr>
              <w:t>38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20" w:hRule="atLeast"/>
          <w:jc w:val="center"/>
        </w:trPr>
        <w:tc>
          <w:tcPr>
            <w:tcW w:w="1087" w:type="dxa"/>
            <w:vMerge w:val="continue"/>
            <w:tcBorders>
              <w:top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p>
        </w:tc>
        <w:tc>
          <w:tcPr>
            <w:tcW w:w="2093"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沥青混凝土路面</w:t>
            </w:r>
          </w:p>
        </w:tc>
        <w:tc>
          <w:tcPr>
            <w:tcW w:w="765"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rPr>
              <w:t>5</w:t>
            </w:r>
          </w:p>
        </w:tc>
        <w:tc>
          <w:tcPr>
            <w:tcW w:w="730"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4"/>
                <w:szCs w:val="24"/>
              </w:rPr>
              <w:t>—</w:t>
            </w:r>
          </w:p>
        </w:tc>
        <w:tc>
          <w:tcPr>
            <w:tcW w:w="749"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4"/>
                <w:szCs w:val="24"/>
              </w:rPr>
              <w:t>—</w:t>
            </w:r>
          </w:p>
        </w:tc>
        <w:tc>
          <w:tcPr>
            <w:tcW w:w="840"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rPr>
              <w:t>—</w:t>
            </w:r>
          </w:p>
        </w:tc>
        <w:tc>
          <w:tcPr>
            <w:tcW w:w="840"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4"/>
                <w:szCs w:val="24"/>
              </w:rPr>
              <w:t>—</w:t>
            </w:r>
          </w:p>
        </w:tc>
        <w:tc>
          <w:tcPr>
            <w:tcW w:w="840"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rPr>
            </w:pPr>
            <w:r>
              <w:rPr>
                <w:rFonts w:hint="default" w:ascii="Times New Roman" w:hAnsi="Times New Roman" w:eastAsia="仿宋_GB2312" w:cs="Times New Roman"/>
                <w:color w:val="auto"/>
                <w:kern w:val="0"/>
                <w:sz w:val="24"/>
                <w:szCs w:val="24"/>
              </w:rPr>
              <w:t>30</w:t>
            </w:r>
          </w:p>
        </w:tc>
        <w:tc>
          <w:tcPr>
            <w:tcW w:w="907" w:type="dxa"/>
            <w:tcBorders>
              <w:top w:val="nil"/>
              <w:left w:val="nil"/>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b/>
                <w:bCs/>
                <w:color w:val="auto"/>
                <w:kern w:val="0"/>
                <w:sz w:val="21"/>
                <w:szCs w:val="21"/>
                <w:lang w:val="en-US" w:eastAsia="zh-CN"/>
              </w:rPr>
            </w:pPr>
            <w:r>
              <w:rPr>
                <w:rFonts w:hint="default" w:ascii="Times New Roman" w:hAnsi="Times New Roman" w:eastAsia="仿宋_GB2312" w:cs="Times New Roman"/>
                <w:color w:val="auto"/>
                <w:kern w:val="0"/>
                <w:sz w:val="24"/>
                <w:szCs w:val="24"/>
                <w:lang w:val="en-US" w:eastAsia="zh-CN"/>
              </w:rPr>
              <w:t>35</w:t>
            </w:r>
          </w:p>
        </w:tc>
      </w:tr>
    </w:tbl>
    <w:p>
      <w:pPr>
        <w:keepNext w:val="0"/>
        <w:keepLines w:val="0"/>
        <w:pageBreakBefore w:val="0"/>
        <w:widowControl w:val="0"/>
        <w:kinsoku/>
        <w:wordWrap/>
        <w:overflowPunct/>
        <w:topLinePunct w:val="0"/>
        <w:autoSpaceDE/>
        <w:autoSpaceDN/>
        <w:bidi w:val="0"/>
        <w:adjustRightInd/>
        <w:snapToGrid/>
        <w:spacing w:line="420" w:lineRule="exact"/>
        <w:ind w:left="120" w:firstLine="480"/>
        <w:textAlignment w:val="auto"/>
        <w:rPr>
          <w:rFonts w:hint="default" w:ascii="Times New Roman" w:hAnsi="Times New Roman" w:eastAsia="仿宋_GB2312" w:cs="Times New Roman"/>
          <w:color w:val="auto"/>
          <w:sz w:val="20"/>
          <w:szCs w:val="22"/>
        </w:rPr>
      </w:pPr>
      <w:r>
        <w:rPr>
          <w:rFonts w:hint="default" w:ascii="Times New Roman" w:hAnsi="Times New Roman" w:eastAsia="仿宋_GB2312" w:cs="Times New Roman"/>
          <w:color w:val="auto"/>
          <w:sz w:val="24"/>
          <w:szCs w:val="22"/>
        </w:rPr>
        <w:t>（1）快速路：城市道路中设有中央分隔带，具有4条以上的车道，全部或者部分采用立体交叉与控制出入，供车辆以较高的速度</w:t>
      </w:r>
      <w:r>
        <w:rPr>
          <w:rFonts w:hint="default" w:ascii="Times New Roman" w:hAnsi="Times New Roman" w:eastAsia="仿宋_GB2312" w:cs="Times New Roman"/>
          <w:color w:val="auto"/>
          <w:sz w:val="24"/>
          <w:szCs w:val="22"/>
          <w:lang w:eastAsia="zh-CN"/>
        </w:rPr>
        <w:t>行驶</w:t>
      </w:r>
      <w:r>
        <w:rPr>
          <w:rFonts w:hint="default" w:ascii="Times New Roman" w:hAnsi="Times New Roman" w:eastAsia="仿宋_GB2312" w:cs="Times New Roman"/>
          <w:color w:val="auto"/>
          <w:sz w:val="24"/>
          <w:szCs w:val="22"/>
        </w:rPr>
        <w:t>的道路。</w:t>
      </w:r>
    </w:p>
    <w:p>
      <w:pPr>
        <w:keepNext w:val="0"/>
        <w:keepLines w:val="0"/>
        <w:pageBreakBefore w:val="0"/>
        <w:widowControl w:val="0"/>
        <w:kinsoku/>
        <w:wordWrap/>
        <w:overflowPunct/>
        <w:topLinePunct w:val="0"/>
        <w:autoSpaceDE/>
        <w:autoSpaceDN/>
        <w:bidi w:val="0"/>
        <w:adjustRightInd/>
        <w:snapToGrid/>
        <w:spacing w:line="420" w:lineRule="exact"/>
        <w:ind w:left="120" w:firstLine="480"/>
        <w:textAlignment w:val="auto"/>
        <w:rPr>
          <w:rFonts w:hint="default" w:ascii="Times New Roman" w:hAnsi="Times New Roman" w:eastAsia="仿宋_GB2312" w:cs="Times New Roman"/>
          <w:color w:val="auto"/>
          <w:sz w:val="20"/>
          <w:szCs w:val="22"/>
        </w:rPr>
      </w:pPr>
      <w:r>
        <w:rPr>
          <w:rFonts w:hint="default" w:ascii="Times New Roman" w:hAnsi="Times New Roman" w:eastAsia="仿宋_GB2312" w:cs="Times New Roman"/>
          <w:color w:val="auto"/>
          <w:sz w:val="24"/>
          <w:szCs w:val="22"/>
        </w:rPr>
        <w:t>（2）主干路：在城市道路网中起骨干作用的道路。</w:t>
      </w:r>
    </w:p>
    <w:p>
      <w:pPr>
        <w:keepNext w:val="0"/>
        <w:keepLines w:val="0"/>
        <w:pageBreakBefore w:val="0"/>
        <w:widowControl w:val="0"/>
        <w:kinsoku/>
        <w:wordWrap/>
        <w:overflowPunct/>
        <w:topLinePunct w:val="0"/>
        <w:autoSpaceDE/>
        <w:autoSpaceDN/>
        <w:bidi w:val="0"/>
        <w:adjustRightInd/>
        <w:snapToGrid/>
        <w:spacing w:line="420" w:lineRule="exact"/>
        <w:ind w:left="120" w:firstLine="480"/>
        <w:textAlignment w:val="auto"/>
        <w:rPr>
          <w:rFonts w:hint="default" w:ascii="Times New Roman" w:hAnsi="Times New Roman" w:eastAsia="仿宋_GB2312" w:cs="Times New Roman"/>
          <w:color w:val="auto"/>
          <w:sz w:val="24"/>
          <w:szCs w:val="22"/>
        </w:rPr>
      </w:pPr>
      <w:r>
        <w:rPr>
          <w:rFonts w:hint="default" w:ascii="Times New Roman" w:hAnsi="Times New Roman" w:eastAsia="仿宋_GB2312" w:cs="Times New Roman"/>
          <w:color w:val="auto"/>
          <w:sz w:val="24"/>
          <w:szCs w:val="22"/>
        </w:rPr>
        <w:t>（3）次干路：在城市道路网中的区域性干路，与主干路</w:t>
      </w:r>
      <w:r>
        <w:rPr>
          <w:rFonts w:hint="default" w:ascii="Times New Roman" w:hAnsi="Times New Roman" w:eastAsia="仿宋_GB2312" w:cs="Times New Roman"/>
          <w:color w:val="auto"/>
          <w:sz w:val="24"/>
          <w:szCs w:val="22"/>
          <w:lang w:eastAsia="zh-CN"/>
        </w:rPr>
        <w:t>相连接</w:t>
      </w:r>
      <w:r>
        <w:rPr>
          <w:rFonts w:hint="default" w:ascii="Times New Roman" w:hAnsi="Times New Roman" w:eastAsia="仿宋_GB2312" w:cs="Times New Roman"/>
          <w:color w:val="auto"/>
          <w:sz w:val="24"/>
          <w:szCs w:val="22"/>
        </w:rPr>
        <w:t>，构成完整的城市干路系统，本指标次干路按单幅路考虑。</w:t>
      </w:r>
    </w:p>
    <w:p>
      <w:pPr>
        <w:keepNext w:val="0"/>
        <w:keepLines w:val="0"/>
        <w:pageBreakBefore w:val="0"/>
        <w:widowControl w:val="0"/>
        <w:kinsoku/>
        <w:wordWrap/>
        <w:overflowPunct/>
        <w:topLinePunct w:val="0"/>
        <w:autoSpaceDE/>
        <w:autoSpaceDN/>
        <w:bidi w:val="0"/>
        <w:adjustRightInd/>
        <w:snapToGrid/>
        <w:spacing w:line="420" w:lineRule="exact"/>
        <w:ind w:left="120" w:firstLine="480"/>
        <w:textAlignment w:val="auto"/>
        <w:rPr>
          <w:rFonts w:ascii="Calibri" w:hAnsi="Calibri" w:eastAsia="宋体" w:cs="宋体"/>
          <w:kern w:val="0"/>
          <w:sz w:val="24"/>
        </w:rPr>
      </w:pPr>
      <w:r>
        <w:rPr>
          <w:rFonts w:hint="default" w:ascii="Times New Roman" w:hAnsi="Times New Roman" w:eastAsia="仿宋_GB2312" w:cs="Times New Roman"/>
          <w:color w:val="auto"/>
          <w:sz w:val="24"/>
          <w:szCs w:val="22"/>
          <w:lang w:eastAsia="zh-CN"/>
        </w:rPr>
        <w:t>（</w:t>
      </w:r>
      <w:r>
        <w:rPr>
          <w:rFonts w:hint="default" w:ascii="Times New Roman" w:hAnsi="Times New Roman" w:eastAsia="仿宋_GB2312" w:cs="Times New Roman"/>
          <w:color w:val="auto"/>
          <w:sz w:val="24"/>
          <w:szCs w:val="22"/>
          <w:lang w:val="en-US" w:eastAsia="zh-CN"/>
        </w:rPr>
        <w:t>4</w:t>
      </w:r>
      <w:r>
        <w:rPr>
          <w:rFonts w:hint="default" w:ascii="Times New Roman" w:hAnsi="Times New Roman" w:eastAsia="仿宋_GB2312" w:cs="Times New Roman"/>
          <w:color w:val="auto"/>
          <w:sz w:val="24"/>
          <w:szCs w:val="22"/>
          <w:lang w:eastAsia="zh-CN"/>
        </w:rPr>
        <w:t>）</w:t>
      </w:r>
      <w:r>
        <w:rPr>
          <w:rFonts w:hint="default" w:ascii="Times New Roman" w:hAnsi="Times New Roman" w:eastAsia="仿宋_GB2312" w:cs="Times New Roman"/>
          <w:color w:val="auto"/>
          <w:sz w:val="24"/>
          <w:szCs w:val="22"/>
        </w:rPr>
        <w:t>城市支路及以下道路参照城市次干路要求执行。</w:t>
      </w:r>
    </w:p>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汉仪大宋简">
    <w:altName w:val="宋体"/>
    <w:panose1 w:val="00000000000000000000"/>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Nimbus Roman No9 L">
    <w:altName w:val="Arial Unicode MS"/>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77868"/>
    <w:rsid w:val="2297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next w:val="3"/>
    <w:uiPriority w:val="0"/>
    <w:pPr>
      <w:widowControl w:val="0"/>
      <w:spacing w:after="120"/>
      <w:jc w:val="both"/>
    </w:pPr>
    <w:rPr>
      <w:rFonts w:ascii="Calibri" w:hAnsi="Calibri" w:eastAsia="宋体" w:cs="宋体"/>
      <w:kern w:val="0"/>
      <w:sz w:val="24"/>
      <w:szCs w:val="24"/>
      <w:lang w:val="en-US" w:eastAsia="zh-CN" w:bidi="ar-SA"/>
    </w:rPr>
  </w:style>
  <w:style w:type="paragraph" w:styleId="3">
    <w:name w:val="Body Text First Indent"/>
    <w:next w:val="2"/>
    <w:uiPriority w:val="0"/>
    <w:pPr>
      <w:widowControl w:val="0"/>
      <w:spacing w:after="120"/>
      <w:ind w:firstLine="420" w:firstLineChars="100"/>
      <w:jc w:val="both"/>
    </w:pPr>
    <w:rPr>
      <w:rFonts w:ascii="Calibri" w:hAnsi="Calibri" w:eastAsia="宋体" w:cs="宋体"/>
      <w:kern w:val="0"/>
      <w:sz w:val="30"/>
      <w:szCs w:val="24"/>
      <w:lang w:val="en-US" w:eastAsia="zh-CN" w:bidi="ar-SA"/>
    </w:rPr>
  </w:style>
  <w:style w:type="paragraph" w:styleId="4">
    <w:name w:val="index 5"/>
    <w:next w:val="1"/>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footer"/>
    <w:basedOn w:val="1"/>
    <w:next w:val="4"/>
    <w:uiPriority w:val="0"/>
    <w:pPr>
      <w:tabs>
        <w:tab w:val="center" w:pos="4153"/>
        <w:tab w:val="right" w:pos="8306"/>
      </w:tabs>
      <w:snapToGrid w:val="0"/>
      <w:jc w:val="left"/>
    </w:pPr>
    <w:rPr>
      <w:sz w:val="18"/>
    </w:rPr>
  </w:style>
  <w:style w:type="paragraph" w:styleId="6">
    <w:name w:val="Normal (Web)"/>
    <w:basedOn w:val="1"/>
    <w:uiPriority w:val="0"/>
    <w:pPr>
      <w:suppressAutoHyphens/>
    </w:pPr>
    <w:rPr>
      <w:rFonts w:ascii="Calibri" w:hAnsi="Calibri"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2025-12-31T04:44:00Z</dcterms:created>
  <dc:creator>Administrator</dc:creator>
  <cp:lastModifiedBy>Administrator</cp:lastModifiedBy>
  <dcterms:modified xsi:type="dcterms:W3CDTF">2025-12-31T04:44:51Z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