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AB5267D">
      <w:pPr>
        <w:spacing w:line="54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  <w:bookmarkStart w:id="0" w:name="_GoBack"/>
      <w:bookmarkEnd w:id="0"/>
      <w:r>
        <w:rPr>
          <w:rFonts w:hint="eastAsia" w:ascii="仿宋" w:hAnsi="仿宋" w:eastAsia="仿宋" w:cs="宋体"/>
          <w:kern w:val="0"/>
          <w:sz w:val="32"/>
          <w:szCs w:val="32"/>
        </w:rPr>
        <w:t>附件2：</w:t>
      </w:r>
    </w:p>
    <w:p w14:paraId="4A4AF723"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 w14:paraId="0792919A"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 w14:paraId="73728F98"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 w14:paraId="43D58BE2"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 w14:paraId="6AB83B22"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 w14:paraId="638C25FE"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 w14:paraId="2701895D">
      <w:pPr>
        <w:spacing w:line="540" w:lineRule="exact"/>
        <w:jc w:val="center"/>
        <w:rPr>
          <w:rFonts w:ascii="方正小标宋_GBK" w:hAnsi="华文中宋" w:eastAsia="方正小标宋_GBK" w:cs="宋体"/>
          <w:b/>
          <w:kern w:val="0"/>
          <w:sz w:val="48"/>
          <w:szCs w:val="48"/>
        </w:rPr>
      </w:pPr>
      <w:r>
        <w:rPr>
          <w:rFonts w:hint="eastAsia" w:ascii="方正小标宋_GBK" w:hAnsi="华文中宋" w:eastAsia="方正小标宋_GBK" w:cs="宋体"/>
          <w:b/>
          <w:kern w:val="0"/>
          <w:sz w:val="48"/>
          <w:szCs w:val="48"/>
        </w:rPr>
        <w:t>项目支出绩效自评报告</w:t>
      </w:r>
    </w:p>
    <w:p w14:paraId="74372C2E"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 w14:paraId="7E3B94D3">
      <w:pPr>
        <w:spacing w:line="540" w:lineRule="exact"/>
        <w:jc w:val="center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 xml:space="preserve">（   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2024</w:t>
      </w:r>
      <w:r>
        <w:rPr>
          <w:rFonts w:hint="eastAsia" w:hAnsi="宋体" w:eastAsia="仿宋_GB2312" w:cs="宋体"/>
          <w:kern w:val="0"/>
          <w:sz w:val="36"/>
          <w:szCs w:val="36"/>
        </w:rPr>
        <w:t xml:space="preserve">  年度）</w:t>
      </w:r>
    </w:p>
    <w:p w14:paraId="07AB7AB5"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 w14:paraId="1DBD7311"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 w14:paraId="7CD0465B"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 w14:paraId="3FF5CCF4"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 w14:paraId="79A52980"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 w14:paraId="4E925C39"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 w14:paraId="6BD4701F">
      <w:pPr>
        <w:spacing w:line="540" w:lineRule="exact"/>
        <w:rPr>
          <w:rFonts w:hAnsi="宋体" w:eastAsia="仿宋_GB2312" w:cs="宋体"/>
          <w:kern w:val="0"/>
          <w:sz w:val="30"/>
          <w:szCs w:val="30"/>
        </w:rPr>
      </w:pPr>
    </w:p>
    <w:p w14:paraId="456682F8">
      <w:pPr>
        <w:spacing w:line="700" w:lineRule="exact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 xml:space="preserve">     </w:t>
      </w:r>
    </w:p>
    <w:p w14:paraId="6024DBEC">
      <w:pPr>
        <w:spacing w:line="700" w:lineRule="exact"/>
        <w:ind w:firstLine="900" w:firstLineChars="250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项目名称：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规建局城市维护费</w:t>
      </w:r>
    </w:p>
    <w:p w14:paraId="40D8ED84">
      <w:pPr>
        <w:spacing w:line="540" w:lineRule="exact"/>
        <w:ind w:firstLine="567"/>
        <w:rPr>
          <w:rFonts w:ascii="楷体" w:hAnsi="楷体" w:eastAsia="楷体"/>
          <w:b/>
          <w:bCs/>
          <w:spacing w:val="-4"/>
          <w:sz w:val="32"/>
          <w:szCs w:val="32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 xml:space="preserve">  实施单位（公章）：</w:t>
      </w:r>
      <w:r>
        <w:rPr>
          <w:rStyle w:val="18"/>
          <w:rFonts w:hint="eastAsia" w:ascii="楷体" w:hAnsi="楷体" w:eastAsia="楷体"/>
          <w:spacing w:val="-4"/>
          <w:sz w:val="28"/>
          <w:szCs w:val="28"/>
        </w:rPr>
        <w:t>规建局</w:t>
      </w:r>
    </w:p>
    <w:p w14:paraId="0BB0A9B3">
      <w:pPr>
        <w:spacing w:line="540" w:lineRule="exact"/>
        <w:ind w:firstLine="900" w:firstLineChars="250"/>
        <w:rPr>
          <w:rFonts w:ascii="楷体" w:hAnsi="楷体" w:eastAsia="楷体"/>
          <w:b/>
          <w:bCs/>
          <w:spacing w:val="-4"/>
          <w:sz w:val="28"/>
          <w:szCs w:val="28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主管部门（公章）：</w:t>
      </w:r>
      <w:r>
        <w:rPr>
          <w:rStyle w:val="18"/>
          <w:rFonts w:hint="eastAsia" w:ascii="楷体" w:hAnsi="楷体" w:eastAsia="楷体"/>
          <w:spacing w:val="-4"/>
          <w:sz w:val="28"/>
          <w:szCs w:val="28"/>
        </w:rPr>
        <w:t>规建局</w:t>
      </w:r>
    </w:p>
    <w:p w14:paraId="433EF470">
      <w:pPr>
        <w:spacing w:line="540" w:lineRule="exact"/>
        <w:ind w:firstLine="900" w:firstLineChars="250"/>
        <w:rPr>
          <w:rFonts w:ascii="楷体" w:hAnsi="楷体" w:eastAsia="楷体"/>
          <w:b/>
          <w:bCs/>
          <w:spacing w:val="-4"/>
          <w:sz w:val="32"/>
          <w:szCs w:val="32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项目负责人（签章）：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巴音达拉</w:t>
      </w:r>
    </w:p>
    <w:p w14:paraId="1B49B9D4">
      <w:pPr>
        <w:spacing w:line="540" w:lineRule="exact"/>
        <w:ind w:left="273" w:firstLine="567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填报时间：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2025年05月23日</w:t>
      </w:r>
    </w:p>
    <w:p w14:paraId="62AC6D3B">
      <w:pPr>
        <w:spacing w:line="700" w:lineRule="exact"/>
        <w:ind w:firstLine="708" w:firstLineChars="236"/>
        <w:jc w:val="left"/>
        <w:rPr>
          <w:rFonts w:hAnsi="宋体" w:eastAsia="仿宋_GB2312" w:cs="宋体"/>
          <w:kern w:val="0"/>
          <w:sz w:val="30"/>
          <w:szCs w:val="30"/>
        </w:rPr>
      </w:pPr>
    </w:p>
    <w:p w14:paraId="0FC63CBC">
      <w:pPr>
        <w:spacing w:line="540" w:lineRule="exact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</w:p>
    <w:p w14:paraId="7A58264F"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一、基本情况</w:t>
      </w:r>
    </w:p>
    <w:p w14:paraId="422717F4">
      <w:pPr>
        <w:spacing w:line="540" w:lineRule="exact"/>
        <w:ind w:firstLine="567"/>
        <w:rPr>
          <w:rStyle w:val="18"/>
          <w:rFonts w:hint="default" w:ascii="楷体" w:hAnsi="楷体" w:eastAsia="楷体"/>
          <w:spacing w:val="-4"/>
          <w:sz w:val="32"/>
          <w:szCs w:val="32"/>
          <w:lang w:val="en-US" w:eastAsia="zh-CN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（一）项目概况</w:t>
      </w:r>
      <w:r>
        <w:rPr>
          <w:rStyle w:val="18"/>
          <w:rFonts w:hint="eastAsia" w:ascii="楷体" w:hAnsi="楷体" w:eastAsia="楷体"/>
          <w:spacing w:val="-4"/>
          <w:sz w:val="32"/>
          <w:szCs w:val="32"/>
          <w:lang w:eastAsia="zh-CN"/>
        </w:rPr>
        <w:t>。</w:t>
      </w:r>
    </w:p>
    <w:p w14:paraId="1B9B6AD5">
      <w:pPr>
        <w:spacing w:line="540" w:lineRule="exact"/>
        <w:ind w:firstLine="567"/>
        <w:rPr>
          <w:rStyle w:val="18"/>
          <w:rFonts w:ascii="楷体" w:hAnsi="楷体" w:eastAsia="楷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（一）项目概况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1. 项目背景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本项目遵循财政部《项目支出绩效评价管理办法》（财预〔2020〕10号）和自治区财政厅《自治区财政支出绩效评价管理暂行办法》（新财预〔2018〕189号）新准党财纪（2024）1号等相关政策文件与规定，旨在打造良好的市政设施状况是城市形象的重要体现，也是提升居民生活品质的关键因素。平整的道路、明亮的路灯、畅通的排水系统、优美的城市绿化等，不仅能增强居民的幸福感和获得感，还能提升城市的吸引力和竞争力，因此需要稳定的市政维护费用来保障市政设施的良好运行和美观度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2. 主要内容及实施情况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本项目建设主要服务于市政养护包括：包括修补破损路面（如坑槽填补、龟裂处理）、路面铣刨与重铺、道路标线翻新、路缘石修复等。例如，城市主干道因长期车辆碾压，路面出现车辙、沉陷，需及时进行修复。对照明灯具进行清洁、更换损坏灯泡；检修路灯、信号灯、公园景观灯线路，排查短路、漏电等故障；对路灯控制设备（如智能控制系统、配电箱）进行维护升级，保障城市夜间照明效果，提高能源利用效率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3.项目实施主体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规建局局为事业单位，纳入2024年部门决算编制范围的有1个办公室：规划建设局市政科。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编制人数8人，其中：行政人员编制0人、工勤7人、参公0人、事业编制1人。实有在职人数8人，其中：行政在职0人、工勤7人、参公0人、事业在职1人。离退休人员0人，其中：行政退休人员0人、事业退休0人。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4. 资金投入和使用情况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根据《财经委员会会议纪要》（新准党财纪〔2024〕1号）文件，下达资金1500万元，为年初预算资金，最终确定项目资金总数为1500万元。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截至2024年12月31日，实际支出1499.76万元，预算执行率100%。</w:t>
      </w:r>
    </w:p>
    <w:p w14:paraId="5019CE05">
      <w:pPr>
        <w:spacing w:line="540" w:lineRule="exact"/>
        <w:ind w:firstLine="567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（二）项目绩效目标</w:t>
      </w:r>
    </w:p>
    <w:p w14:paraId="2E020BC9">
      <w:pPr>
        <w:spacing w:line="540" w:lineRule="exact"/>
        <w:ind w:firstLine="567"/>
        <w:rPr>
          <w:rStyle w:val="18"/>
          <w:rFonts w:ascii="楷体" w:hAnsi="楷体" w:eastAsia="楷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（二）项目绩效目标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项目绩效目标包括项目绩效总目标和阶段性目标。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1.项目绩效总目标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城市维护费项目绩效总目标围绕保障城市功能运行、提升居民生活品质、促进城市可持续发展三大核心方向，可从以下维度设定：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1. 基础设施功能保障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确保市政道路、桥梁、排水管网、供水供气等设施完好率达到95%以上，减少因设施故障导致的交通拥堵、停水停电、内涝等问题，保障城市基础设施稳定运行，降低设施安全隐患，延长设施使用寿命。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2. 公共服务质量提升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实现城市照明亮灯率不低于98%，公共厕所清洁达标率100%，垃圾清运及时率100%，显著改善城市环境卫生状况，提升市民日常生活便利性与舒适度。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通过园林绿化养护，使城市绿化覆盖率稳步提升，公园、绿地等公共空间环境品质显著改善，增强市民幸福感。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3. 环境与安全保障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加强污水处理设施维护，确保城市污水集中处理率达到98%以上，水质达标排放；提升防洪排涝能力，保障城市在极端天气下排水通畅，减少洪涝灾害损失。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定期开展桥梁、燃气管道等设施安全检测，隐患整改率100%，杜绝重大安全事故发生，保障市民生命财产安全。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4. 资源利用与可持续发展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推动市政设施节能改造（如LED路灯普及、节水灌溉系统应用），降低能源与水资源消耗，实现资源高效利用。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采用环保材料和技术进行设施维护与更新，促进城市建设绿色低碳转型，助力生态文明建设。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5. 市民满意度与社会效益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通过提升城市环境品质和服务水平，使市民对市政设施维护工作的满意度达到90%以上，增强城市吸引力与竞争力，促进区域经济发展和社会和谐。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2.阶段性目标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实施的前期准备工作：对年度所需维修内容进行统计及预估，制定维修计划。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具体实施工作：按时间节点做好维修工作，对路面及市政照明设施，按照天气以及温度进行维修。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验收阶段的具体工作：对完成维修工作进行验收及审计工作。</w:t>
      </w:r>
    </w:p>
    <w:p w14:paraId="6FB672F9"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二、绩效评价工作开展情况</w:t>
      </w:r>
    </w:p>
    <w:p w14:paraId="139DDC96">
      <w:pPr>
        <w:spacing w:line="540" w:lineRule="exact"/>
        <w:ind w:firstLine="567" w:firstLineChars="181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（一）绩效评价目的、对象和范围</w:t>
      </w:r>
    </w:p>
    <w:p w14:paraId="1066B73F">
      <w:pPr>
        <w:spacing w:line="540" w:lineRule="exact"/>
        <w:ind w:firstLine="567"/>
        <w:rPr>
          <w:rStyle w:val="18"/>
          <w:rFonts w:ascii="楷体" w:hAnsi="楷体" w:eastAsia="楷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（一）绩效评价目的、对象和范围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1. 绩效评价目的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本次绩效评价遵循财政部《项目支出绩效评价管理办法》（财预〔2020〕10号）、《关于印发〈中央部门项目支出核心绩效目标和指标设置及取值指引（试行）〉的通知》（财预〔2021〕101号）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  <w:lang w:eastAsia="zh-CN"/>
        </w:rPr>
        <w:t>以及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自治区财政厅《关于印发〈自治区项目支出绩效目标设置指引〉的通知》（新财预〔2022〕42号）、《自治区财政支出绩效评价管理暂行办法》（新财预〔2018〕189号）等相关政策文件与规定，旨在评价财政项目实施前期、过程及效果，评价财政预算资金使用的效率及效益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通过此次绩效评价，发现预算资金在项目立项、执行管理中制度保障、实际操作方面的缺陷和薄弱环节，总结项目管理经验，完善项目管理办法，提高项目管理水平和资金使用效益。同时可根据绩效评价中发现的问题，调整工作计划，完善绩效目标，加强项目管理，提高管理水平，为下一年预算编制与评审提供充分有效的依据，以达到改进预算管理、优化资源配置、提高预算资金使用效益的目的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2. 绩效评价对象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本次绩效评价遵循财政部《项目支出绩效评价管理办法》（财预〔2020〕10号）和《自治区财政支出绩效评价管理暂行办法》（新财预〔2018〕189号）等相关政策文件与规定，以项目支出为对象所对应的预算资金，以项目实施所带来的产出和效果为主要内容，以促进预算单位完成特定工作任务目标所组织开展的绩效评价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3. 绩效评价范围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本次评价范围涵盖项目总体绩效目标、各项绩效指标完成情况以及预算执行情况。覆盖项目预算资金支出的所有内容进行评价。包括项目决策、项目实施和项目成果验收流程等。</w:t>
      </w:r>
    </w:p>
    <w:p w14:paraId="1481B699">
      <w:pPr>
        <w:spacing w:line="540" w:lineRule="exact"/>
        <w:ind w:firstLine="567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（二）绩效评价原则、评价指标体系、评价方法、评价标准</w:t>
      </w:r>
    </w:p>
    <w:p w14:paraId="00705FEA">
      <w:pPr>
        <w:spacing w:line="540" w:lineRule="exact"/>
        <w:ind w:firstLine="567"/>
        <w:rPr>
          <w:rStyle w:val="18"/>
          <w:rFonts w:ascii="楷体" w:hAnsi="楷体" w:eastAsia="楷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（二）绩效评价原则、评价指标体系、评价方法评价标准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1. 绩效评价原则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本次绩效评价遵循的原则包括：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（1）科学公正。绩效评价应当运用科学合理的方法，按照规范的程序，对项目绩效进行客观、公正的反映。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2）统筹兼顾。单位自评、部门评价和财政评价应职责明确，各有侧重，相互衔接。单位自评应由项目单位自主实施，即“谁支出、谁自评”。部门评价和财政评价应在单位自评的基础上开展，必要时可委托第三方机构实施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（3）激励约束。绩效评价结果应与预算安排、政策调整、改进管理实质性挂钩，体现奖优罚劣和激励相容导向，有效要安排、低效要压减、无效要问责。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（4）公开透明。绩效评价结果应依法依规公开，并自觉接受社会监督。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2. 绩效评价指标体系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本项目绩效评价体系根据《关于印发〈项目支出绩效评价管理办法〉的通知》（财预﹝2020﹞10号）文件中共性指标及个性化指标设置，主要分为共性指标和个性指标两大类。共性指标下设决策与过程2个一级指标，其中：项目决策下设项目立项、绩效目标、资金投入3个二级指标；过程下设资金管理和组织实施2个二级指标。个性指标下设产出和效益2个一级指标，其中：产出下设产出数量、产出质量、产出时效、产出成本4个2级指标，效益下设项目效益及满意度2个二级指标。项目绩效评价体系详见附件1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3. 绩效评价方法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本次评价采用定量与定性评价相结合的比较法和公众评判法，总分由各项指标得分汇总形成。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比较法：是指通过对绩效目标与实施效果、历史与当期情况、不同部门和地区同类支出的比较，综合分析绩效目标实现程度。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4. 绩效评价标准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绩效评价标准通常包括计划标准、行业标准、历史标准等，用于对绩效指标完成情况进行比较、分析、评价。本次评价主要采用了计划标准。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计划标准：指以预先制定的目标、计划、预算、定额等作为评价标准。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行业标准：指参照国家公布的行业指标数据制定的评价标准。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历史标准：指参照历史数据制定的评价标准，为体现绩效改进的原则，在可实现的条件下应当确定相对较高的评价标准。</w:t>
      </w:r>
    </w:p>
    <w:p w14:paraId="396016D5">
      <w:pPr>
        <w:spacing w:line="540" w:lineRule="exact"/>
        <w:ind w:firstLine="567" w:firstLineChars="181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（三）绩效评价工作过程</w:t>
      </w:r>
    </w:p>
    <w:p w14:paraId="493BFE2B">
      <w:pPr>
        <w:spacing w:line="540" w:lineRule="exact"/>
        <w:ind w:firstLine="567"/>
        <w:rPr>
          <w:rStyle w:val="18"/>
          <w:rFonts w:ascii="楷体" w:hAnsi="楷体" w:eastAsia="楷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（三）绩效评价工作过程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第一阶段：前期准备。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我单位绩效评价人员根据《项目支出绩效评价管理办法》（财预〔2020〕10号）文件精神认真学习相关要求与规定，成立绩效评价工作组，作为绩效评价工作具体实施机构。成员构成如下：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徐海亮任评价组组长，绩效评价工作职责为负责全盘工作。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巴音达拉任评价组副组长，绩效评价工作职责为为对项目实施情况进行实地调查。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胡鹏任评价组成员，绩效评价工作职责为负责资料审核等工作。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第二阶段：组织实施。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经评价组通过实地调研、查阅资料等方式，采用综合分析法对项目的决策、管理、绩效进行的综合评价分析。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第三阶段：分析评价。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首先按照指标体系进行定量、定性分析。其次开展量化打分、综合评价工作，形成初步评价结论。最后归纳整体项目情况与存在问题，撰写部门绩效评价报告。</w:t>
      </w:r>
    </w:p>
    <w:p w14:paraId="244B9088"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三、综合评价情况及评价结论</w:t>
      </w:r>
    </w:p>
    <w:p w14:paraId="5F47676A">
      <w:pPr>
        <w:spacing w:line="540" w:lineRule="exact"/>
        <w:ind w:firstLine="567"/>
        <w:rPr>
          <w:rStyle w:val="18"/>
          <w:rFonts w:ascii="楷体" w:hAnsi="楷体" w:eastAsia="楷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（一）综合评价情况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通过实施规建局城市维护费项目产生社会效益。项目实施主要通过项目决策、项目过程、项目产出以及项目效益等方面进行评价，其中：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 xml:space="preserve">项目决策：项目决策：《财经委员会会议纪要》（新准党财纪〔2024〕1号）、（新准管纪〔2022〕7号）文件内容同意对市政环卫绿化等进行购买服务立项，项目立项依据充分，立项程序规范。 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项目过程：财经委员会会议纪要》（新准党财纪〔2024〕1号）项目预算安排1500万元，实际支出1499.76万元，预算执行率99.98%。项目资金使用合规，项目财务管理制度健全，财务监控到位，所有资金支付均按照国库集中支付制度严格执行，现有项目管理制度执行情况良好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项目产出：城市维护费项目产出丰富多元，有效保障城市有序运行。在基础设施方面，完成道路修补、排水管网疏通，提升交通通行效率与安全性；市政设施维护上，修缮路灯、公厕、环卫设施，保障市民日常使用需求；市容环境整治中，清理卫生死角、规范广告牌匾，改善城市面貌；园林绿化养护使公共绿地景观升级，提升生态环境质量。同时，通过城市维护费投入，及时应对突发设施损坏等问题，增强城市韧性，为市民营造整洁、安全、宜居的生活环境，推动城市功能与形象持续优化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项目效益：城市维护费项目效益体现在多维度。 社会效益 上，修缮道路、维护市政设施，优化公共空间，提升市民出行便利性与生活舒适度，增强居民幸福感与归属感； 经济效益 方面，良好的城市环境吸引投资、促进商业发展，降低企业运营成本，带动消费升级； 生态效益上，支持绿化养护、水体治理等工作，改善城市生态环境，缓解热岛效应，助力生态平衡； 安全效益层面，加固设施、疏通管网，消除安全隐患，提升城市防灾减灾能力，保障城市安全稳定运行，实现城市可持续发展。（二）综合评价结论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依据《中共中央国务院关于全面实施预算绩效管理的意见》《项目支出绩效评价管理办法》（财预〔2020〕10号）以及《关于进一步加强和规范喀什地区项目支出“全过程”预算绩效管理结果应用的通知》（喀地财绩〔2022〕2号）文件，绩效评价总分设置为100分，划分为四档：90（含）-100分为“优”、80（含）-90分为“良”、70（含）-80分为“中”、70分以下为“差”。经对规建局城市维护费项目进行客观评价，最终评分结果：评价总分100分，绩效等级为“优”。</w:t>
      </w:r>
    </w:p>
    <w:p w14:paraId="67C7388D">
      <w:pPr>
        <w:spacing w:line="540" w:lineRule="exact"/>
        <w:ind w:firstLine="640"/>
        <w:rPr>
          <w:rStyle w:val="18"/>
          <w:rFonts w:ascii="黑体" w:hAnsi="黑体" w:eastAsia="黑体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四、绩效评价指标分析</w:t>
      </w:r>
      <w:r>
        <w:rPr>
          <w:rStyle w:val="18"/>
          <w:rFonts w:hint="eastAsia" w:ascii="黑体" w:hAnsi="黑体" w:eastAsia="黑体"/>
        </w:rPr>
        <w:t xml:space="preserve"> </w:t>
      </w:r>
    </w:p>
    <w:p w14:paraId="022261DB"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（一）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项目决策情况</w:t>
      </w:r>
    </w:p>
    <w:p w14:paraId="2CC3DBC2">
      <w:pPr>
        <w:tabs>
          <w:tab w:val="center" w:pos="4295"/>
        </w:tabs>
        <w:spacing w:line="540" w:lineRule="exact"/>
        <w:ind w:firstLine="567"/>
        <w:rPr>
          <w:rStyle w:val="18"/>
          <w:rFonts w:ascii="楷体" w:hAnsi="楷体" w:eastAsia="楷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（一）项目决策情况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项目决策类指标包括项目立项、绩效目标和资金投入三方面的内容，由6个三级指标构成，权重分为15分，实际得分15分，得分率为100%。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1）立项依据充分性：城市基础设施老化需更新维护，可保障居民安全与生活质量；城市化进程加快，人口增加使公共设施负荷加重，需资金支持扩容维护；相关政策要求加强城市管理，项目符合发展规划；经调研论证，现有维护资金缺口大，立项能提升城市运行效率，故依据充分。根据评分标准，该指标不扣分，得3分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2）立项程序规范性：项目按规定完成前期调研，编制可行性研究报告，内容详实、论证充分。严格履行审批流程，依次通过部门审核，各环节文件齐全、手续完备。招标采购遵循公开透明原则，确保程序合规，保障项目依法依规推进，立项程序符合相关制度要求。根据评分标准，该指标不扣分，得2分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3）绩效目标合理性：目标紧扣城市维护核心需求，基础设施完好率提升至95%、道路养护及时率达98%等，与政策导向一致，聚焦民生改善与城市运行保障，符合发展规划。经科学测算，目标设定基于历史数据与实际需求，具可实现性，能有效衡量项目实施效果，助力提升城市管理水平，合理性显著。根据评分标准，该指标不扣分，得3分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4）绩效指标明确性：设置基础设施完好率、道路养护及时率、路灯亮灯率等定量指标，辅以居民满意度调查等定性指标，涵盖维护质量、效率及民生反馈。指标贴合项目核心任务，数值设定清晰（完好率≥95%），责任主体与考核周期明确，可精准衡量资金使用效益与维护成效，便于监控与评估，确保项目目标可操作、可追溯。根据评分标准，该指标不扣分，得2分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（5）预算编制科学性： 依据维护内容与工程量，结合市场价格及历史数据精准测算，如道路养护按面积、材料单价细化分项预算。资金分配合理，区分基础设施维修、绿化养护等重点领域，保障民生急需。预算编制符合财政管理要求，流程规范，充分考虑物价波动等因素，具可执行性与动态调整空间，确保资金高效利用。根据评分标准，该指标不扣分，得3分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6）资金分配合理性：优先保障道路、管网等民生基础设施维修，占比约60%，解决居民出行与生活痛点；绿化养护、路灯维护等市容环境支出占25%，提升城市形象；预留15%作为应急备用金，应对突发维护需求，贴合城市管理实际需求。根据评分标准，该指标不扣分，得2分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ab/>
      </w:r>
    </w:p>
    <w:p w14:paraId="21D84CCF">
      <w:pPr>
        <w:spacing w:line="540" w:lineRule="exact"/>
        <w:ind w:firstLine="567" w:firstLineChars="181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（二）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项目过程情况</w:t>
      </w:r>
    </w:p>
    <w:p w14:paraId="71D716C7">
      <w:pPr>
        <w:spacing w:line="540" w:lineRule="exact"/>
        <w:ind w:firstLine="567"/>
        <w:rPr>
          <w:rStyle w:val="18"/>
          <w:rFonts w:ascii="楷体" w:hAnsi="楷体" w:eastAsia="楷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（二）项目过程情况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项目过程类指标包括资金管理和组织实施两方面的内容，由 5个三级指标构成，权重分为20分，实际得分20分，得分率为100%。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 xml:space="preserve">（1）资金到位率：财政部门按项目进度及时拨付资金，截至2024年12月25日，已到位资金1500万元，资金到位及时保障了道路维修、管网改造等工程顺利推进，未因资金短缺导致项目延期。剩余资金预计按合同约定分期到位，整体资金保障力度强，为项目实施提供了坚实支撑。根据评分标准，该指标不扣分，得3分。   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2）预算执行率：截至2024年12月25日，该项目预算金额为1500万元，实际执行金额为1499.76万元，各分项支出与工程进度匹配，如道路养护、绿化维护等重点领域资金使用合规高效。无超预算或资金滞留情况，预算调整按程序审批，确保资金流向与项目目标一致。执行率体现了资金管控的科学性，保障了维护工作有序开展，预算约束机制有效落实。根据评分标准，该指标不扣分，得3分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3）资金使用合规性：严格遵循财政法规及项目管理制度，资金专款用于基础设施维护、绿化养护等既定用途，无截留、挪用现象。支出审批流程规范，凭证齐全，大额资金使用履行招投标和政府采购程序。财务核算清晰，定期接受审计监督，未发现违规列支或超标准支出问题，确保资金安全可控，合规性较强。根据评分标准，该指标不扣分，得4分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4）管理制度健全性：建立涵盖项目申报、资金管理、施工监管、竣工验收的全流程制度体系，明确了各部门职责分工。资金使用实行专户管理、专款专用，配套财务审核与审计机制。施工环节设质量监督与安全管控细则。考核评价制度完善，将维护成效与部门绩效挂钩，确保项目各环节有章可循、规范运行。根据评分标准，该指标不扣分，得5分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5）制度执行有效性：各部门严格落实全流程管理制度，项目申报审核规范，资金按财政管理要求及时足额拨付，无违规使用问题。施工阶段监理单位全程监督，质量安全隐患整改率达100%。考核评价制度切实落地，维护成效与部门绩效挂钩，推动责任压实。定期审计与自查自纠机制确保问题及时发现整改，制度执行力保障项目高效有序实施。根据评分标准，该指标不扣分，得5分。</w:t>
      </w:r>
    </w:p>
    <w:p w14:paraId="695CC44B"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（三）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项目产出情况</w:t>
      </w:r>
    </w:p>
    <w:p w14:paraId="2E88527A">
      <w:pPr>
        <w:spacing w:line="540" w:lineRule="exact"/>
        <w:ind w:firstLine="567"/>
        <w:rPr>
          <w:rStyle w:val="18"/>
          <w:rFonts w:ascii="楷体" w:hAnsi="楷体" w:eastAsia="楷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（三）项目产出情况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项目产出类指标包括产出数量、产出质量、产出时效、产出成本四方面的内容，由4个三级指标构成，权重分为45分，实际得分45分，得分率为100%。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（1）对于“产出数量”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五彩湾城区维护面积指标，预期指标值为2500平方米，实际完成值为2500平方米，指标完成率为100%，与预期目标一致，根据评分标准，该指标不扣分，得7分。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市政道路防眩板更换块数指标，预期指标值为1000块，实际完成值为1000块，指标完成率为100%，与预期目标一致，根据评分标准，该指标不扣分，得7分。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市政道路故障设备维护次数指标，预期指标值为10次，实际完成值为10次，指标完成率为100%，与预期目标一致，根据评分标准，该指标不扣分，得6分。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合计得20分。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（2）对于“产出质量”：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市政设施维护维修率指标，预期指标值为80%，实际完成值为100%，指标完成率为125%，与预期目标值不一致，年初目标设置不精准，指标超额完成；后期根据项目实际情况及时调整目标值，根据评分标准，该指标不扣分，得5分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维修施工竣工验收率指标，预期指标值为100%，实际完成值为100%，指标完成率为100%，与预期目标一致，根据评分标准，该指标不扣分，得5分。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竣工验收覆盖率指标，预期指标值为100%，实际完成值为100%，指标完成率为100%，与预期目标一致，根据评分标准，该指标不扣分，得5分。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合计得15分。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（3）对于“产出时效”：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项目完成时限指标，预期指标值为2024年12月10日前，实际完成值为2024年12月10日前，指标完成率为100%，与预期目标一致，根据评分标准，该指标不扣分，得10分。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合计得10分。</w:t>
      </w:r>
    </w:p>
    <w:p w14:paraId="3A894B6F"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（四）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项目效益情况</w:t>
      </w:r>
    </w:p>
    <w:p w14:paraId="2861AC84">
      <w:pPr>
        <w:spacing w:line="540" w:lineRule="exact"/>
        <w:ind w:firstLine="567"/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（四）项目效益情况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项目效益类指标包括项目效益1个方面的内容，由2个三级指标构成，权重分为20分，实际得分20分，得分率为100%。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（1）对于“社会效益指标”：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提升开发区五彩湾城区形象指标，该指标预期指标值为100%，实际完成值为100%，指标完成率为100%，与预期指标一致，根据评分标准，该指标不扣分，得20分。</w:t>
      </w:r>
    </w:p>
    <w:p w14:paraId="291544A8">
      <w:pPr>
        <w:spacing w:line="540" w:lineRule="exact"/>
        <w:ind w:firstLine="567"/>
        <w:rPr>
          <w:rStyle w:val="18"/>
          <w:rFonts w:ascii="楷体" w:hAnsi="楷体" w:eastAsia="楷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无</w:t>
      </w:r>
    </w:p>
    <w:p w14:paraId="1194A215">
      <w:pPr>
        <w:spacing w:line="540" w:lineRule="exact"/>
        <w:ind w:firstLine="567"/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</w:pPr>
    </w:p>
    <w:p w14:paraId="2B64537A">
      <w:pPr>
        <w:spacing w:line="540" w:lineRule="exact"/>
        <w:ind w:firstLine="567"/>
        <w:rPr>
          <w:rStyle w:val="18"/>
          <w:rFonts w:ascii="楷体" w:hAnsi="楷体" w:eastAsia="楷体"/>
          <w:spacing w:val="-4"/>
          <w:sz w:val="32"/>
          <w:szCs w:val="32"/>
        </w:rPr>
      </w:pPr>
    </w:p>
    <w:p w14:paraId="3B56D83E">
      <w:pPr>
        <w:numPr>
          <w:ilvl w:val="0"/>
          <w:numId w:val="1"/>
        </w:numPr>
        <w:spacing w:line="540" w:lineRule="exact"/>
        <w:ind w:firstLine="640"/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主要经验及做法、存在的问题及原因分析</w:t>
      </w:r>
    </w:p>
    <w:p w14:paraId="57CE84E1">
      <w:pPr>
        <w:spacing w:line="540" w:lineRule="exact"/>
        <w:ind w:firstLine="567"/>
        <w:rPr>
          <w:rFonts w:ascii="仿宋_GB2312" w:eastAsia="仿宋_GB2312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规建城市维护费项目预算1500万元，到位1500万元，实际支出1499.76万元，预算执行率为99.98%，项目绩效指标总体完成率为103.13%，偏差率为3.15%，偏差原因：年初目标设置不精准，指标实际完成值高于预期指标值，指标超额完成；采取的措施：后期根据项目实际情况设置绩效目标值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（一）主要经验及做法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建立有效透明的沟通机制，加强决策分析，提高决策效率，加强决策监督，清晰定义目标确定项目的核心目标被理解和认同。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（二）存在问题及原因分析。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维修时限较长，审计时间较长导致资金拨付缓慢。原因：现场人员未及时进行维修，未督促审计及时跟进。</w:t>
      </w:r>
    </w:p>
    <w:p w14:paraId="34F76F6D"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  <w:lang w:val="en-US" w:eastAsia="zh-CN"/>
        </w:rPr>
        <w:t>六</w:t>
      </w: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、有关建议</w:t>
      </w:r>
    </w:p>
    <w:p w14:paraId="3A543C81">
      <w:pPr>
        <w:spacing w:line="540" w:lineRule="exact"/>
        <w:ind w:firstLine="567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建议加大维修监督力度，确保维修的及时率，及时跟进审计单位进行审计，加快资金拨付。</w:t>
      </w:r>
    </w:p>
    <w:p w14:paraId="0F53DC6A"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  <w:lang w:val="en-US" w:eastAsia="zh-CN"/>
        </w:rPr>
        <w:t>七</w:t>
      </w: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、其他需要说明的问题</w:t>
      </w:r>
    </w:p>
    <w:p w14:paraId="2ECB48ED">
      <w:pPr>
        <w:spacing w:line="540" w:lineRule="exact"/>
        <w:ind w:firstLine="567"/>
        <w:rPr>
          <w:rStyle w:val="18"/>
          <w:rFonts w:ascii="楷体" w:hAnsi="楷体" w:eastAsia="楷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我单位对上述项目支出绩效评价报告内反映内容的真实性、完整性负责，接受上级部门及社会公众监督。</w:t>
      </w:r>
    </w:p>
    <w:p w14:paraId="0A193D4F"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 w14:paraId="3B379466"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 w14:paraId="2AB80CD0"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 w14:paraId="6E9D0564"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 w14:paraId="5BF01633"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sectPr>
      <w:footerReference r:id="rId3" w:type="default"/>
      <w:pgSz w:w="11906" w:h="16838"/>
      <w:pgMar w:top="1440" w:right="1558" w:bottom="1440" w:left="175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422003363"/>
    </w:sdtPr>
    <w:sdtContent>
      <w:p w14:paraId="72691EE7">
        <w:pPr>
          <w:pStyle w:val="1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 w14:paraId="6A19B69D">
    <w:pPr>
      <w:pStyle w:val="12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FEA218F"/>
    <w:multiLevelType w:val="singleLevel"/>
    <w:tmpl w:val="3FEA218F"/>
    <w:lvl w:ilvl="0" w:tentative="0">
      <w:start w:val="5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BlY2RlZTc4MzFlYzYzZjZmMTg4MDMwODUwYTE2N2UifQ=="/>
  </w:docVars>
  <w:rsids>
    <w:rsidRoot w:val="00CA6457"/>
    <w:rsid w:val="00056465"/>
    <w:rsid w:val="00102DFF"/>
    <w:rsid w:val="0012073C"/>
    <w:rsid w:val="00121AE4"/>
    <w:rsid w:val="00146AAD"/>
    <w:rsid w:val="00151FA7"/>
    <w:rsid w:val="001B3A40"/>
    <w:rsid w:val="00291BC0"/>
    <w:rsid w:val="00311DBE"/>
    <w:rsid w:val="004366A8"/>
    <w:rsid w:val="00502BA7"/>
    <w:rsid w:val="005162F1"/>
    <w:rsid w:val="00535153"/>
    <w:rsid w:val="00554F82"/>
    <w:rsid w:val="0056390D"/>
    <w:rsid w:val="005719B0"/>
    <w:rsid w:val="005D10D6"/>
    <w:rsid w:val="00855E3A"/>
    <w:rsid w:val="0091457F"/>
    <w:rsid w:val="00922CB9"/>
    <w:rsid w:val="009A0637"/>
    <w:rsid w:val="009E5CD9"/>
    <w:rsid w:val="00A26421"/>
    <w:rsid w:val="00A34588"/>
    <w:rsid w:val="00A4293B"/>
    <w:rsid w:val="00A67D50"/>
    <w:rsid w:val="00A8691A"/>
    <w:rsid w:val="00AC1946"/>
    <w:rsid w:val="00B40063"/>
    <w:rsid w:val="00B41F61"/>
    <w:rsid w:val="00BA46E6"/>
    <w:rsid w:val="00C56C72"/>
    <w:rsid w:val="00CA6457"/>
    <w:rsid w:val="00CE2FD9"/>
    <w:rsid w:val="00D17F2E"/>
    <w:rsid w:val="00D30354"/>
    <w:rsid w:val="00DF42A0"/>
    <w:rsid w:val="00E30E91"/>
    <w:rsid w:val="00E769FE"/>
    <w:rsid w:val="00EA2CBE"/>
    <w:rsid w:val="00F32FEE"/>
    <w:rsid w:val="00FB10BB"/>
    <w:rsid w:val="0856517C"/>
    <w:rsid w:val="0BFB189F"/>
    <w:rsid w:val="0F58071E"/>
    <w:rsid w:val="11BD75F7"/>
    <w:rsid w:val="13BE561A"/>
    <w:rsid w:val="15392994"/>
    <w:rsid w:val="18FE139B"/>
    <w:rsid w:val="28231EEB"/>
    <w:rsid w:val="3029612C"/>
    <w:rsid w:val="32A221C5"/>
    <w:rsid w:val="33F20F2A"/>
    <w:rsid w:val="34C44675"/>
    <w:rsid w:val="3B5B5607"/>
    <w:rsid w:val="3CE21B3C"/>
    <w:rsid w:val="46AD611F"/>
    <w:rsid w:val="4D2606A1"/>
    <w:rsid w:val="51830480"/>
    <w:rsid w:val="53A616BE"/>
    <w:rsid w:val="54662BFB"/>
    <w:rsid w:val="62051CA5"/>
    <w:rsid w:val="6C3A69EF"/>
    <w:rsid w:val="7BDF2CF1"/>
    <w:rsid w:val="7DB128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0"/>
    <w:qFormat/>
    <w:uiPriority w:val="9"/>
    <w:pPr>
      <w:keepNext/>
      <w:widowControl/>
      <w:spacing w:before="240" w:after="60"/>
      <w:jc w:val="left"/>
      <w:outlineLvl w:val="0"/>
    </w:pPr>
    <w:rPr>
      <w:rFonts w:asciiTheme="majorHAnsi" w:hAnsiTheme="majorHAnsi" w:eastAsiaTheme="majorEastAsia"/>
      <w:b/>
      <w:bCs/>
      <w:kern w:val="32"/>
      <w:sz w:val="32"/>
      <w:szCs w:val="32"/>
    </w:rPr>
  </w:style>
  <w:style w:type="paragraph" w:styleId="3">
    <w:name w:val="heading 2"/>
    <w:basedOn w:val="1"/>
    <w:next w:val="1"/>
    <w:link w:val="21"/>
    <w:semiHidden/>
    <w:unhideWhenUsed/>
    <w:qFormat/>
    <w:uiPriority w:val="9"/>
    <w:pPr>
      <w:keepNext/>
      <w:widowControl/>
      <w:spacing w:before="240" w:after="60"/>
      <w:jc w:val="left"/>
      <w:outlineLvl w:val="1"/>
    </w:pPr>
    <w:rPr>
      <w:rFonts w:asciiTheme="majorHAnsi" w:hAnsiTheme="majorHAnsi" w:eastAsiaTheme="majorEastAsia"/>
      <w:b/>
      <w:bCs/>
      <w:i/>
      <w:iCs/>
      <w:kern w:val="0"/>
      <w:sz w:val="28"/>
      <w:szCs w:val="28"/>
    </w:rPr>
  </w:style>
  <w:style w:type="paragraph" w:styleId="4">
    <w:name w:val="heading 3"/>
    <w:basedOn w:val="1"/>
    <w:next w:val="1"/>
    <w:link w:val="22"/>
    <w:semiHidden/>
    <w:unhideWhenUsed/>
    <w:qFormat/>
    <w:uiPriority w:val="9"/>
    <w:pPr>
      <w:keepNext/>
      <w:widowControl/>
      <w:spacing w:before="240" w:after="60"/>
      <w:jc w:val="left"/>
      <w:outlineLvl w:val="2"/>
    </w:pPr>
    <w:rPr>
      <w:rFonts w:asciiTheme="majorHAnsi" w:hAnsiTheme="majorHAnsi" w:eastAsiaTheme="majorEastAsia"/>
      <w:b/>
      <w:bCs/>
      <w:kern w:val="0"/>
      <w:sz w:val="26"/>
      <w:szCs w:val="26"/>
    </w:rPr>
  </w:style>
  <w:style w:type="paragraph" w:styleId="5">
    <w:name w:val="heading 4"/>
    <w:basedOn w:val="1"/>
    <w:next w:val="1"/>
    <w:link w:val="23"/>
    <w:semiHidden/>
    <w:unhideWhenUsed/>
    <w:qFormat/>
    <w:uiPriority w:val="9"/>
    <w:pPr>
      <w:keepNext/>
      <w:widowControl/>
      <w:spacing w:before="240" w:after="60"/>
      <w:jc w:val="left"/>
      <w:outlineLvl w:val="3"/>
    </w:pPr>
    <w:rPr>
      <w:rFonts w:asciiTheme="minorHAnsi" w:hAnsiTheme="minorHAnsi" w:eastAsiaTheme="minorEastAsia"/>
      <w:b/>
      <w:bCs/>
      <w:kern w:val="0"/>
      <w:sz w:val="28"/>
      <w:szCs w:val="28"/>
    </w:rPr>
  </w:style>
  <w:style w:type="paragraph" w:styleId="6">
    <w:name w:val="heading 5"/>
    <w:basedOn w:val="1"/>
    <w:next w:val="1"/>
    <w:link w:val="24"/>
    <w:semiHidden/>
    <w:unhideWhenUsed/>
    <w:qFormat/>
    <w:uiPriority w:val="9"/>
    <w:pPr>
      <w:widowControl/>
      <w:spacing w:before="240" w:after="60"/>
      <w:jc w:val="left"/>
      <w:outlineLvl w:val="4"/>
    </w:pPr>
    <w:rPr>
      <w:rFonts w:asciiTheme="minorHAnsi" w:hAnsiTheme="minorHAnsi" w:eastAsiaTheme="minorEastAsia"/>
      <w:b/>
      <w:bCs/>
      <w:i/>
      <w:iCs/>
      <w:kern w:val="0"/>
      <w:sz w:val="26"/>
      <w:szCs w:val="26"/>
    </w:rPr>
  </w:style>
  <w:style w:type="paragraph" w:styleId="7">
    <w:name w:val="heading 6"/>
    <w:basedOn w:val="1"/>
    <w:next w:val="1"/>
    <w:link w:val="25"/>
    <w:semiHidden/>
    <w:unhideWhenUsed/>
    <w:qFormat/>
    <w:uiPriority w:val="9"/>
    <w:pPr>
      <w:widowControl/>
      <w:spacing w:before="240" w:after="60"/>
      <w:jc w:val="left"/>
      <w:outlineLvl w:val="5"/>
    </w:pPr>
    <w:rPr>
      <w:rFonts w:asciiTheme="minorHAnsi" w:hAnsiTheme="minorHAnsi" w:eastAsiaTheme="minorEastAsia"/>
      <w:b/>
      <w:bCs/>
      <w:kern w:val="0"/>
      <w:sz w:val="22"/>
      <w:szCs w:val="22"/>
    </w:rPr>
  </w:style>
  <w:style w:type="paragraph" w:styleId="8">
    <w:name w:val="heading 7"/>
    <w:basedOn w:val="1"/>
    <w:next w:val="1"/>
    <w:link w:val="26"/>
    <w:semiHidden/>
    <w:unhideWhenUsed/>
    <w:qFormat/>
    <w:uiPriority w:val="9"/>
    <w:pPr>
      <w:widowControl/>
      <w:spacing w:before="240" w:after="60"/>
      <w:jc w:val="left"/>
      <w:outlineLvl w:val="6"/>
    </w:pPr>
    <w:rPr>
      <w:rFonts w:asciiTheme="minorHAnsi" w:hAnsiTheme="minorHAnsi" w:eastAsiaTheme="minorEastAsia"/>
      <w:kern w:val="0"/>
      <w:sz w:val="24"/>
    </w:rPr>
  </w:style>
  <w:style w:type="paragraph" w:styleId="9">
    <w:name w:val="heading 8"/>
    <w:basedOn w:val="1"/>
    <w:next w:val="1"/>
    <w:link w:val="27"/>
    <w:semiHidden/>
    <w:unhideWhenUsed/>
    <w:qFormat/>
    <w:uiPriority w:val="9"/>
    <w:pPr>
      <w:widowControl/>
      <w:spacing w:before="240" w:after="60"/>
      <w:jc w:val="left"/>
      <w:outlineLvl w:val="7"/>
    </w:pPr>
    <w:rPr>
      <w:rFonts w:asciiTheme="minorHAnsi" w:hAnsiTheme="minorHAnsi" w:eastAsiaTheme="minorEastAsia"/>
      <w:i/>
      <w:iCs/>
      <w:kern w:val="0"/>
      <w:sz w:val="24"/>
    </w:rPr>
  </w:style>
  <w:style w:type="paragraph" w:styleId="10">
    <w:name w:val="heading 9"/>
    <w:basedOn w:val="1"/>
    <w:next w:val="1"/>
    <w:link w:val="28"/>
    <w:semiHidden/>
    <w:unhideWhenUsed/>
    <w:qFormat/>
    <w:uiPriority w:val="9"/>
    <w:pPr>
      <w:widowControl/>
      <w:spacing w:before="240" w:after="60"/>
      <w:jc w:val="left"/>
      <w:outlineLvl w:val="8"/>
    </w:pPr>
    <w:rPr>
      <w:rFonts w:asciiTheme="majorHAnsi" w:hAnsiTheme="majorHAnsi" w:eastAsiaTheme="majorEastAsia"/>
      <w:kern w:val="0"/>
      <w:sz w:val="22"/>
      <w:szCs w:val="22"/>
    </w:rPr>
  </w:style>
  <w:style w:type="character" w:default="1" w:styleId="17">
    <w:name w:val="Default Paragraph Font"/>
    <w:semiHidden/>
    <w:unhideWhenUsed/>
    <w:qFormat/>
    <w:uiPriority w:val="1"/>
  </w:style>
  <w:style w:type="table" w:default="1" w:styleId="1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Balloon Text"/>
    <w:basedOn w:val="1"/>
    <w:link w:val="45"/>
    <w:semiHidden/>
    <w:unhideWhenUsed/>
    <w:uiPriority w:val="99"/>
    <w:rPr>
      <w:sz w:val="18"/>
      <w:szCs w:val="18"/>
    </w:rPr>
  </w:style>
  <w:style w:type="paragraph" w:styleId="12">
    <w:name w:val="footer"/>
    <w:basedOn w:val="1"/>
    <w:link w:val="44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13">
    <w:name w:val="header"/>
    <w:basedOn w:val="1"/>
    <w:link w:val="43"/>
    <w:autoRedefine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14">
    <w:name w:val="Subtitle"/>
    <w:basedOn w:val="1"/>
    <w:next w:val="1"/>
    <w:link w:val="30"/>
    <w:qFormat/>
    <w:uiPriority w:val="11"/>
    <w:pPr>
      <w:widowControl/>
      <w:spacing w:after="60"/>
      <w:jc w:val="center"/>
      <w:outlineLvl w:val="1"/>
    </w:pPr>
    <w:rPr>
      <w:rFonts w:asciiTheme="majorHAnsi" w:hAnsiTheme="majorHAnsi" w:eastAsiaTheme="majorEastAsia"/>
      <w:kern w:val="0"/>
      <w:sz w:val="24"/>
    </w:rPr>
  </w:style>
  <w:style w:type="paragraph" w:styleId="15">
    <w:name w:val="Title"/>
    <w:basedOn w:val="1"/>
    <w:next w:val="1"/>
    <w:link w:val="29"/>
    <w:qFormat/>
    <w:uiPriority w:val="10"/>
    <w:pPr>
      <w:widowControl/>
      <w:spacing w:before="240" w:after="60"/>
      <w:jc w:val="center"/>
      <w:outlineLvl w:val="0"/>
    </w:pPr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styleId="18">
    <w:name w:val="Strong"/>
    <w:basedOn w:val="17"/>
    <w:qFormat/>
    <w:uiPriority w:val="0"/>
    <w:rPr>
      <w:b/>
      <w:bCs/>
    </w:rPr>
  </w:style>
  <w:style w:type="character" w:styleId="19">
    <w:name w:val="Emphasis"/>
    <w:basedOn w:val="17"/>
    <w:qFormat/>
    <w:uiPriority w:val="20"/>
    <w:rPr>
      <w:rFonts w:asciiTheme="minorHAnsi" w:hAnsiTheme="minorHAnsi"/>
      <w:b/>
      <w:i/>
      <w:iCs/>
    </w:rPr>
  </w:style>
  <w:style w:type="character" w:customStyle="1" w:styleId="20">
    <w:name w:val="标题 1 Char"/>
    <w:basedOn w:val="17"/>
    <w:link w:val="2"/>
    <w:qFormat/>
    <w:uiPriority w:val="9"/>
    <w:rPr>
      <w:rFonts w:asciiTheme="majorHAnsi" w:hAnsiTheme="majorHAnsi" w:eastAsiaTheme="majorEastAsia"/>
      <w:b/>
      <w:bCs/>
      <w:kern w:val="32"/>
      <w:sz w:val="32"/>
      <w:szCs w:val="32"/>
    </w:rPr>
  </w:style>
  <w:style w:type="character" w:customStyle="1" w:styleId="21">
    <w:name w:val="标题 2 Char"/>
    <w:basedOn w:val="17"/>
    <w:link w:val="3"/>
    <w:semiHidden/>
    <w:qFormat/>
    <w:uiPriority w:val="9"/>
    <w:rPr>
      <w:rFonts w:asciiTheme="majorHAnsi" w:hAnsiTheme="majorHAnsi" w:eastAsiaTheme="majorEastAsia"/>
      <w:b/>
      <w:bCs/>
      <w:i/>
      <w:iCs/>
      <w:sz w:val="28"/>
      <w:szCs w:val="28"/>
    </w:rPr>
  </w:style>
  <w:style w:type="character" w:customStyle="1" w:styleId="22">
    <w:name w:val="标题 3 Char"/>
    <w:basedOn w:val="17"/>
    <w:link w:val="4"/>
    <w:semiHidden/>
    <w:qFormat/>
    <w:uiPriority w:val="9"/>
    <w:rPr>
      <w:rFonts w:asciiTheme="majorHAnsi" w:hAnsiTheme="majorHAnsi" w:eastAsiaTheme="majorEastAsia"/>
      <w:b/>
      <w:bCs/>
      <w:sz w:val="26"/>
      <w:szCs w:val="26"/>
    </w:rPr>
  </w:style>
  <w:style w:type="character" w:customStyle="1" w:styleId="23">
    <w:name w:val="标题 4 Char"/>
    <w:basedOn w:val="17"/>
    <w:link w:val="5"/>
    <w:semiHidden/>
    <w:qFormat/>
    <w:uiPriority w:val="9"/>
    <w:rPr>
      <w:b/>
      <w:bCs/>
      <w:sz w:val="28"/>
      <w:szCs w:val="28"/>
    </w:rPr>
  </w:style>
  <w:style w:type="character" w:customStyle="1" w:styleId="24">
    <w:name w:val="标题 5 Char"/>
    <w:basedOn w:val="17"/>
    <w:link w:val="6"/>
    <w:semiHidden/>
    <w:qFormat/>
    <w:uiPriority w:val="9"/>
    <w:rPr>
      <w:b/>
      <w:bCs/>
      <w:i/>
      <w:iCs/>
      <w:sz w:val="26"/>
      <w:szCs w:val="26"/>
    </w:rPr>
  </w:style>
  <w:style w:type="character" w:customStyle="1" w:styleId="25">
    <w:name w:val="标题 6 Char"/>
    <w:basedOn w:val="17"/>
    <w:link w:val="7"/>
    <w:semiHidden/>
    <w:qFormat/>
    <w:uiPriority w:val="9"/>
    <w:rPr>
      <w:b/>
      <w:bCs/>
    </w:rPr>
  </w:style>
  <w:style w:type="character" w:customStyle="1" w:styleId="26">
    <w:name w:val="标题 7 Char"/>
    <w:basedOn w:val="17"/>
    <w:link w:val="8"/>
    <w:semiHidden/>
    <w:uiPriority w:val="9"/>
    <w:rPr>
      <w:sz w:val="24"/>
      <w:szCs w:val="24"/>
    </w:rPr>
  </w:style>
  <w:style w:type="character" w:customStyle="1" w:styleId="27">
    <w:name w:val="标题 8 Char"/>
    <w:basedOn w:val="17"/>
    <w:link w:val="9"/>
    <w:semiHidden/>
    <w:qFormat/>
    <w:uiPriority w:val="9"/>
    <w:rPr>
      <w:i/>
      <w:iCs/>
      <w:sz w:val="24"/>
      <w:szCs w:val="24"/>
    </w:rPr>
  </w:style>
  <w:style w:type="character" w:customStyle="1" w:styleId="28">
    <w:name w:val="标题 9 Char"/>
    <w:basedOn w:val="17"/>
    <w:link w:val="10"/>
    <w:semiHidden/>
    <w:qFormat/>
    <w:uiPriority w:val="9"/>
    <w:rPr>
      <w:rFonts w:asciiTheme="majorHAnsi" w:hAnsiTheme="majorHAnsi" w:eastAsiaTheme="majorEastAsia"/>
    </w:rPr>
  </w:style>
  <w:style w:type="character" w:customStyle="1" w:styleId="29">
    <w:name w:val="标题 Char"/>
    <w:basedOn w:val="17"/>
    <w:link w:val="15"/>
    <w:uiPriority w:val="10"/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customStyle="1" w:styleId="30">
    <w:name w:val="副标题 Char"/>
    <w:basedOn w:val="17"/>
    <w:link w:val="14"/>
    <w:uiPriority w:val="11"/>
    <w:rPr>
      <w:rFonts w:asciiTheme="majorHAnsi" w:hAnsiTheme="majorHAnsi" w:eastAsiaTheme="majorEastAsia"/>
      <w:sz w:val="24"/>
      <w:szCs w:val="24"/>
    </w:rPr>
  </w:style>
  <w:style w:type="paragraph" w:styleId="31">
    <w:name w:val="No Spacing"/>
    <w:basedOn w:val="1"/>
    <w:qFormat/>
    <w:uiPriority w:val="1"/>
    <w:pPr>
      <w:widowControl/>
      <w:jc w:val="left"/>
    </w:pPr>
    <w:rPr>
      <w:rFonts w:asciiTheme="minorHAnsi" w:hAnsiTheme="minorHAnsi" w:eastAsiaTheme="minorEastAsia"/>
      <w:kern w:val="0"/>
      <w:sz w:val="24"/>
      <w:szCs w:val="32"/>
      <w:lang w:eastAsia="en-US" w:bidi="en-US"/>
    </w:rPr>
  </w:style>
  <w:style w:type="paragraph" w:styleId="32">
    <w:name w:val="List Paragraph"/>
    <w:basedOn w:val="1"/>
    <w:qFormat/>
    <w:uiPriority w:val="34"/>
    <w:pPr>
      <w:widowControl/>
      <w:ind w:left="720"/>
      <w:contextualSpacing/>
      <w:jc w:val="left"/>
    </w:pPr>
    <w:rPr>
      <w:rFonts w:asciiTheme="minorHAnsi" w:hAnsiTheme="minorHAnsi" w:eastAsiaTheme="minorEastAsia"/>
      <w:kern w:val="0"/>
      <w:sz w:val="24"/>
      <w:lang w:eastAsia="en-US" w:bidi="en-US"/>
    </w:rPr>
  </w:style>
  <w:style w:type="paragraph" w:styleId="33">
    <w:name w:val="Quote"/>
    <w:basedOn w:val="1"/>
    <w:next w:val="1"/>
    <w:link w:val="34"/>
    <w:qFormat/>
    <w:uiPriority w:val="29"/>
    <w:pPr>
      <w:widowControl/>
      <w:jc w:val="left"/>
    </w:pPr>
    <w:rPr>
      <w:rFonts w:asciiTheme="minorHAnsi" w:hAnsiTheme="minorHAnsi" w:eastAsiaTheme="minorEastAsia"/>
      <w:i/>
      <w:kern w:val="0"/>
      <w:sz w:val="24"/>
    </w:rPr>
  </w:style>
  <w:style w:type="character" w:customStyle="1" w:styleId="34">
    <w:name w:val="引用 Char"/>
    <w:basedOn w:val="17"/>
    <w:link w:val="33"/>
    <w:uiPriority w:val="29"/>
    <w:rPr>
      <w:i/>
      <w:sz w:val="24"/>
      <w:szCs w:val="24"/>
    </w:rPr>
  </w:style>
  <w:style w:type="paragraph" w:styleId="35">
    <w:name w:val="Intense Quote"/>
    <w:basedOn w:val="1"/>
    <w:next w:val="1"/>
    <w:link w:val="36"/>
    <w:qFormat/>
    <w:uiPriority w:val="30"/>
    <w:pPr>
      <w:widowControl/>
      <w:ind w:left="720" w:right="720"/>
      <w:jc w:val="left"/>
    </w:pPr>
    <w:rPr>
      <w:rFonts w:asciiTheme="minorHAnsi" w:hAnsiTheme="minorHAnsi" w:eastAsiaTheme="minorEastAsia"/>
      <w:b/>
      <w:i/>
      <w:kern w:val="0"/>
      <w:sz w:val="24"/>
      <w:szCs w:val="22"/>
    </w:rPr>
  </w:style>
  <w:style w:type="character" w:customStyle="1" w:styleId="36">
    <w:name w:val="明显引用 Char"/>
    <w:basedOn w:val="17"/>
    <w:link w:val="35"/>
    <w:uiPriority w:val="30"/>
    <w:rPr>
      <w:b/>
      <w:i/>
      <w:sz w:val="24"/>
    </w:rPr>
  </w:style>
  <w:style w:type="character" w:customStyle="1" w:styleId="37">
    <w:name w:val="不明显强调1"/>
    <w:qFormat/>
    <w:uiPriority w:val="19"/>
    <w:rPr>
      <w:i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38">
    <w:name w:val="明显强调1"/>
    <w:basedOn w:val="17"/>
    <w:qFormat/>
    <w:uiPriority w:val="21"/>
    <w:rPr>
      <w:b/>
      <w:i/>
      <w:sz w:val="24"/>
      <w:szCs w:val="24"/>
      <w:u w:val="single"/>
    </w:rPr>
  </w:style>
  <w:style w:type="character" w:customStyle="1" w:styleId="39">
    <w:name w:val="不明显参考1"/>
    <w:basedOn w:val="17"/>
    <w:qFormat/>
    <w:uiPriority w:val="31"/>
    <w:rPr>
      <w:sz w:val="24"/>
      <w:szCs w:val="24"/>
      <w:u w:val="single"/>
    </w:rPr>
  </w:style>
  <w:style w:type="character" w:customStyle="1" w:styleId="40">
    <w:name w:val="明显参考1"/>
    <w:basedOn w:val="17"/>
    <w:qFormat/>
    <w:uiPriority w:val="32"/>
    <w:rPr>
      <w:b/>
      <w:sz w:val="24"/>
      <w:u w:val="single"/>
    </w:rPr>
  </w:style>
  <w:style w:type="character" w:customStyle="1" w:styleId="41">
    <w:name w:val="书籍标题1"/>
    <w:basedOn w:val="17"/>
    <w:qFormat/>
    <w:uiPriority w:val="33"/>
    <w:rPr>
      <w:rFonts w:asciiTheme="majorHAnsi" w:hAnsiTheme="majorHAnsi" w:eastAsiaTheme="majorEastAsia"/>
      <w:b/>
      <w:i/>
      <w:sz w:val="24"/>
      <w:szCs w:val="24"/>
    </w:rPr>
  </w:style>
  <w:style w:type="paragraph" w:customStyle="1" w:styleId="42">
    <w:name w:val="TOC 标题1"/>
    <w:basedOn w:val="2"/>
    <w:next w:val="1"/>
    <w:semiHidden/>
    <w:unhideWhenUsed/>
    <w:qFormat/>
    <w:uiPriority w:val="39"/>
    <w:pPr>
      <w:outlineLvl w:val="9"/>
    </w:pPr>
    <w:rPr>
      <w:lang w:eastAsia="en-US" w:bidi="en-US"/>
    </w:rPr>
  </w:style>
  <w:style w:type="character" w:customStyle="1" w:styleId="43">
    <w:name w:val="页眉 Char"/>
    <w:basedOn w:val="17"/>
    <w:link w:val="13"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4">
    <w:name w:val="页脚 Char"/>
    <w:basedOn w:val="17"/>
    <w:link w:val="12"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5">
    <w:name w:val="批注框文本 Char"/>
    <w:basedOn w:val="17"/>
    <w:link w:val="11"/>
    <w:semiHidden/>
    <w:qFormat/>
    <w:uiPriority w:val="99"/>
    <w:rPr>
      <w:rFonts w:ascii="Times New Roman" w:hAnsi="Times New Roman" w:eastAsia="宋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19</Pages>
  <Words>7241</Words>
  <Characters>7564</Characters>
  <Lines>4</Lines>
  <Paragraphs>1</Paragraphs>
  <TotalTime>7</TotalTime>
  <ScaleCrop>false</ScaleCrop>
  <LinksUpToDate>false</LinksUpToDate>
  <CharactersWithSpaces>7605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2018-08-15T02:06:00Z</dcterms:created>
  <dc:creator>赵 恺（预算处）</dc:creator>
  <cp:lastModifiedBy>小麦啾</cp:lastModifiedBy>
  <cp:lastPrinted>2018-12-31T10:56:00Z</cp:lastPrinted>
  <dcterms:modified xsi:type="dcterms:W3CDTF">2025-10-30T09:27:02Z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49DDAC4F31D5482EA87780B612505671_13</vt:lpwstr>
  </property>
  <property fmtid="{D5CDD505-2E9C-101B-9397-08002B2CF9AE}" pid="4" name="KSOTemplateDocerSaveRecord">
    <vt:lpwstr>eyJoZGlkIjoiM2Q5NDlmNDc3N2ZkYzk3ZGJmOTUwNTM0Mzc5MTVlNDMiLCJ1c2VySWQiOiIzMjQ5NjUzODcifQ==</vt:lpwstr>
  </property>
</Properties>
</file>