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A65B79">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40F0563F">
      <w:pPr>
        <w:spacing w:line="540" w:lineRule="exact"/>
        <w:jc w:val="center"/>
        <w:rPr>
          <w:rFonts w:ascii="华文中宋" w:hAnsi="华文中宋" w:eastAsia="华文中宋" w:cs="宋体"/>
          <w:b/>
          <w:kern w:val="0"/>
          <w:sz w:val="52"/>
          <w:szCs w:val="52"/>
        </w:rPr>
      </w:pPr>
    </w:p>
    <w:p w14:paraId="262BE30C">
      <w:pPr>
        <w:spacing w:line="540" w:lineRule="exact"/>
        <w:jc w:val="center"/>
        <w:rPr>
          <w:rFonts w:ascii="华文中宋" w:hAnsi="华文中宋" w:eastAsia="华文中宋" w:cs="宋体"/>
          <w:b/>
          <w:kern w:val="0"/>
          <w:sz w:val="52"/>
          <w:szCs w:val="52"/>
        </w:rPr>
      </w:pPr>
    </w:p>
    <w:p w14:paraId="70A3EBEB">
      <w:pPr>
        <w:spacing w:line="540" w:lineRule="exact"/>
        <w:jc w:val="center"/>
        <w:rPr>
          <w:rFonts w:ascii="华文中宋" w:hAnsi="华文中宋" w:eastAsia="华文中宋" w:cs="宋体"/>
          <w:b/>
          <w:kern w:val="0"/>
          <w:sz w:val="52"/>
          <w:szCs w:val="52"/>
        </w:rPr>
      </w:pPr>
    </w:p>
    <w:p w14:paraId="7AAC6CAF">
      <w:pPr>
        <w:spacing w:line="540" w:lineRule="exact"/>
        <w:jc w:val="center"/>
        <w:rPr>
          <w:rFonts w:ascii="华文中宋" w:hAnsi="华文中宋" w:eastAsia="华文中宋" w:cs="宋体"/>
          <w:b/>
          <w:kern w:val="0"/>
          <w:sz w:val="52"/>
          <w:szCs w:val="52"/>
        </w:rPr>
      </w:pPr>
    </w:p>
    <w:p w14:paraId="34ED41F6">
      <w:pPr>
        <w:spacing w:line="540" w:lineRule="exact"/>
        <w:jc w:val="center"/>
        <w:rPr>
          <w:rFonts w:ascii="华文中宋" w:hAnsi="华文中宋" w:eastAsia="华文中宋" w:cs="宋体"/>
          <w:b/>
          <w:kern w:val="0"/>
          <w:sz w:val="52"/>
          <w:szCs w:val="52"/>
        </w:rPr>
      </w:pPr>
    </w:p>
    <w:p w14:paraId="7B316ACA">
      <w:pPr>
        <w:spacing w:line="540" w:lineRule="exact"/>
        <w:jc w:val="center"/>
        <w:rPr>
          <w:rFonts w:ascii="华文中宋" w:hAnsi="华文中宋" w:eastAsia="华文中宋" w:cs="宋体"/>
          <w:b/>
          <w:kern w:val="0"/>
          <w:sz w:val="52"/>
          <w:szCs w:val="52"/>
        </w:rPr>
      </w:pPr>
    </w:p>
    <w:p w14:paraId="675932A6">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61A5C45">
      <w:pPr>
        <w:spacing w:line="540" w:lineRule="exact"/>
        <w:jc w:val="center"/>
        <w:rPr>
          <w:rFonts w:ascii="华文中宋" w:hAnsi="华文中宋" w:eastAsia="华文中宋" w:cs="宋体"/>
          <w:b/>
          <w:kern w:val="0"/>
          <w:sz w:val="52"/>
          <w:szCs w:val="52"/>
        </w:rPr>
      </w:pPr>
    </w:p>
    <w:p w14:paraId="32AD2D71">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5B2FB56F">
      <w:pPr>
        <w:spacing w:line="540" w:lineRule="exact"/>
        <w:jc w:val="center"/>
        <w:rPr>
          <w:rFonts w:hAnsi="宋体" w:eastAsia="仿宋_GB2312" w:cs="宋体"/>
          <w:kern w:val="0"/>
          <w:sz w:val="30"/>
          <w:szCs w:val="30"/>
        </w:rPr>
      </w:pPr>
    </w:p>
    <w:p w14:paraId="4F630D21">
      <w:pPr>
        <w:spacing w:line="540" w:lineRule="exact"/>
        <w:jc w:val="center"/>
        <w:rPr>
          <w:rFonts w:hAnsi="宋体" w:eastAsia="仿宋_GB2312" w:cs="宋体"/>
          <w:kern w:val="0"/>
          <w:sz w:val="30"/>
          <w:szCs w:val="30"/>
        </w:rPr>
      </w:pPr>
    </w:p>
    <w:p w14:paraId="23239933">
      <w:pPr>
        <w:spacing w:line="540" w:lineRule="exact"/>
        <w:jc w:val="center"/>
        <w:rPr>
          <w:rFonts w:hAnsi="宋体" w:eastAsia="仿宋_GB2312" w:cs="宋体"/>
          <w:kern w:val="0"/>
          <w:sz w:val="30"/>
          <w:szCs w:val="30"/>
        </w:rPr>
      </w:pPr>
    </w:p>
    <w:p w14:paraId="4B47CCB5">
      <w:pPr>
        <w:spacing w:line="540" w:lineRule="exact"/>
        <w:jc w:val="center"/>
        <w:rPr>
          <w:rFonts w:hAnsi="宋体" w:eastAsia="仿宋_GB2312" w:cs="宋体"/>
          <w:kern w:val="0"/>
          <w:sz w:val="30"/>
          <w:szCs w:val="30"/>
        </w:rPr>
      </w:pPr>
    </w:p>
    <w:p w14:paraId="3E8A2E47">
      <w:pPr>
        <w:spacing w:line="540" w:lineRule="exact"/>
        <w:jc w:val="center"/>
        <w:rPr>
          <w:rFonts w:hAnsi="宋体" w:eastAsia="仿宋_GB2312" w:cs="宋体"/>
          <w:kern w:val="0"/>
          <w:sz w:val="30"/>
          <w:szCs w:val="30"/>
        </w:rPr>
      </w:pPr>
    </w:p>
    <w:p w14:paraId="2BF7B587">
      <w:pPr>
        <w:spacing w:line="540" w:lineRule="exact"/>
        <w:jc w:val="center"/>
        <w:rPr>
          <w:rFonts w:hAnsi="宋体" w:eastAsia="仿宋_GB2312" w:cs="宋体"/>
          <w:kern w:val="0"/>
          <w:sz w:val="30"/>
          <w:szCs w:val="30"/>
        </w:rPr>
      </w:pPr>
    </w:p>
    <w:p w14:paraId="793F4BFF">
      <w:pPr>
        <w:spacing w:line="540" w:lineRule="exact"/>
        <w:rPr>
          <w:rFonts w:hAnsi="宋体" w:eastAsia="仿宋_GB2312" w:cs="宋体"/>
          <w:kern w:val="0"/>
          <w:sz w:val="30"/>
          <w:szCs w:val="30"/>
        </w:rPr>
      </w:pPr>
    </w:p>
    <w:p w14:paraId="1287989B">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8CFC6D7">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组织部准东现代产业学院2023年下半年至2024年费用</w:t>
      </w:r>
    </w:p>
    <w:p w14:paraId="1C45CBAB">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组织部</w:t>
      </w:r>
    </w:p>
    <w:p w14:paraId="581ADA56">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组织部</w:t>
      </w:r>
    </w:p>
    <w:p w14:paraId="58276843">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管堃</w:t>
      </w:r>
    </w:p>
    <w:p w14:paraId="22E6F959">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2025年05月26日</w:t>
      </w:r>
    </w:p>
    <w:p w14:paraId="127EA48E">
      <w:pPr>
        <w:spacing w:line="700" w:lineRule="exact"/>
        <w:ind w:firstLine="708" w:firstLineChars="236"/>
        <w:jc w:val="left"/>
        <w:rPr>
          <w:rFonts w:hAnsi="宋体" w:eastAsia="仿宋_GB2312" w:cs="宋体"/>
          <w:kern w:val="0"/>
          <w:sz w:val="30"/>
          <w:szCs w:val="30"/>
        </w:rPr>
      </w:pPr>
    </w:p>
    <w:p w14:paraId="0090B282">
      <w:pPr>
        <w:spacing w:line="540" w:lineRule="exact"/>
        <w:rPr>
          <w:rStyle w:val="18"/>
          <w:rFonts w:ascii="黑体" w:hAnsi="黑体" w:eastAsia="黑体"/>
          <w:b w:val="0"/>
          <w:spacing w:val="-4"/>
          <w:sz w:val="32"/>
          <w:szCs w:val="32"/>
        </w:rPr>
      </w:pPr>
    </w:p>
    <w:p w14:paraId="059D177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E15DD33">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2752E6D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疆维吾尔自治区准东经济技术开发区位于昌吉回族自治州境内，开发区内准东煤田是国家确定的第十四个大型煤炭基地的重要组成部分。煤田西起昌吉州皇康市东界，东到昌吉州木垒县老君庙，北至昌吉州北部界卡拉麦里山南麓，南接古尔班通古特沙漠北缘，是新疆五大煤田之一，也是我国最大的整装煤田，预测储量3900亿吨,占全国预测储量的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准东开发区严格按照中央和区州党委的要求，以新发展理念引领高质量发展,坚持高起点、高标准推进国家循环化改造示范试点园区.国家现代煤化工产业示范区、自治区电力体制改革示范区的建设，把严禁“三高”项目进准东消化落后产能作为政治纪律来落实，坚持高端引领、创新驱动、绿色发展，通过技术改造提升一批、精深加工转化一批，加快完善“六大”中高端产业体系，大力发展实体经济，加快产业转型升级。随着准东开发区进入新的发展阶段，产业升级和经济结构调整不断加快，各行各业对技术技能人才的需求越来越紧迫，职业教育重要地位和作用越来越凸显。为此，开发区更进一步注重加快发展职业教育。准东经济技术开发区是世界级煤炭资源综合利用产业聚集区和国家大型煤炭煤电煤化工基地，是支撑和引领昌吉州经济社会发展的重要支柱，准东开发区面临的发展难题之一就是人才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疆准东经济技术开发区人力资源和社会保障局是准东经济技术开发区的职能部门，负责贯彻执行国家、自治区和自治州人力资源和社会保障事业发展规划、政策;负责拟定人力资源和社会保障相关措施并组织实施:负责促进开发区就业和创业工作促进人力资源合理流动、有效配置。为保障准东开发区优势产业发展，持续构建现代职业教育培训体系，增强准东开发区培训、实训基础设施条件。新疆准东经济技术开发区人力资源和社会保障局会)在开发区党工委、管委会的坚强的领导下，围绕《关于新疆准东经济技术开发区高质量发展综合改革试点实施意见》、《昌吉州深化职业教育产教融合校企合作实施意见》《开发区党工委2023年工作会报告》的文件精神，为从根本上解决职业教育资源不足、人才培养短缺等问题，准东开发区投资6.28亿元于2021年建成了集合作办学、实习实训、培训鉴定、继续教育、招工就业、科技创新、文体赛事等七大服务平台于一体的产教融合科技创新园，立足于产教融合科技创新园与合作办学院校签订合作办学协议，为开发区输送专业人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主要服务于准东现代产业学院内合作办学院校，在管委会的正确指导下，各合作办学院校以实习、就业等方式为准东开发区提供智力支撑。项目实施情况如下：准东现代产业学院2024年上半年，合作办学入园总数为1506人，学校深度调研企业73家，983名入园学生签订企业订单班，组织专场人才招聘会28场，其他地区16家企业等；组织学生实习743人，新疆东方希望有色金属有限公司、新疆其亚铝电有限公司等21家企业定岗实习384人，实现在准就业人数857人。下半年，合作办学入园总数为2483人，其中，新疆工程学院入园人数为1947人（其中</w:t>
      </w:r>
      <w:r>
        <w:rPr>
          <w:rStyle w:val="18"/>
          <w:rFonts w:hint="eastAsia" w:ascii="楷体" w:hAnsi="楷体" w:eastAsia="楷体"/>
          <w:b w:val="0"/>
          <w:bCs w:val="0"/>
          <w:spacing w:val="-4"/>
          <w:sz w:val="32"/>
          <w:szCs w:val="32"/>
          <w:lang w:eastAsia="zh-CN"/>
        </w:rPr>
        <w:t>维吾尔族</w:t>
      </w:r>
      <w:r>
        <w:rPr>
          <w:rStyle w:val="18"/>
          <w:rFonts w:hint="eastAsia" w:ascii="楷体" w:hAnsi="楷体" w:eastAsia="楷体"/>
          <w:b w:val="0"/>
          <w:bCs w:val="0"/>
          <w:spacing w:val="-4"/>
          <w:sz w:val="32"/>
          <w:szCs w:val="32"/>
        </w:rPr>
        <w:t>、哈族677人，占比34.8%），昌吉职业技术学院入园人数为536人（其中</w:t>
      </w:r>
      <w:r>
        <w:rPr>
          <w:rStyle w:val="18"/>
          <w:rFonts w:hint="eastAsia" w:ascii="楷体" w:hAnsi="楷体" w:eastAsia="楷体"/>
          <w:b w:val="0"/>
          <w:bCs w:val="0"/>
          <w:spacing w:val="-4"/>
          <w:sz w:val="32"/>
          <w:szCs w:val="32"/>
          <w:lang w:eastAsia="zh-CN"/>
        </w:rPr>
        <w:t>维吾尔族</w:t>
      </w:r>
      <w:r>
        <w:rPr>
          <w:rStyle w:val="18"/>
          <w:rFonts w:hint="eastAsia" w:ascii="楷体" w:hAnsi="楷体" w:eastAsia="楷体"/>
          <w:b w:val="0"/>
          <w:bCs w:val="0"/>
          <w:spacing w:val="-4"/>
          <w:sz w:val="32"/>
          <w:szCs w:val="32"/>
        </w:rPr>
        <w:t>、哈族227人，占比42.8%），主要涉及机电一体化、电力系统技术自动化技术、电气工程及其自动化、热能动力工程技术等与开发区产业需求契合的专业。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项目单位：新疆准东经济技术开发区人力资源和社会保障局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主管部门：新疆准东经济技术开发区人力资源和社会保障局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单位职能：（1）就业促进与劳动力保障，产业用工对接：立足准东开发区以煤炭、煤电、煤化工、新能源等为主导的产业集群，搭建企业用工与劳动力资源对接平台，组织专场招聘会、校企合作等活动。重点群体就业帮扶：针对高校毕业生、农牧民转移就业、退役军人等群体，开展职业技能培训及就业指导，落实就业补贴政策。援疆劳务协作：协调内地劳动力资源输入，保障开发区重点企业用工需求，推动稳岗就业政策落地。（2）职业技能培训与产教融合，定向技能培训：结合开发区能源化工、新材料等产业技术需求，联合职业院校、企业共建实训基地，开展“订单式”技能人才培养。企业职工技能提升：推动企业新型学徒制，落实职业技能等级认定，助力企业技术升级和职工职业发展。（3）劳动关系协调与权益保障监督企业落实劳动合同制度，处理劳动争议案件，维护劳动者合法权益。和谐劳动关系创建：引导企业完善薪酬福利体系，推动开发区劳动关系和谐稳定。（4）人才引进与服务保障：落实自治区、昌吉州及开发区人才引进政策，为高层次人才、技能型人才提供落户、住房、子女教育等配套服务。援疆人才服务：对接援疆省市资源，为开发区重点产业引入专业技术和管理人才。5.社会保障与公共服务：推进企业职工养老保险、工伤保险、失业保险全覆盖，保障劳动者基本权益。惠民政策落实：精准实施城乡居民养老、医疗等民生政策，完善开发区社会保障网络。公共服务优化：简化人社业务办理流程，推行“互联网+政务服务”，提升企业和群众办事便利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单位编制：机关行政编制3人，实有人数3人；事业编制14人，实有14人，内设综合办公室、组织人事科、绩效考评科、工资福利科、组织科、就业培训与职称评价科、劳动保障监察科、就业服务中心、人才援疆科、产教融合科共计10个科室，所属准东开发区党工委、管委会，机构规格为正县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根据准东管委会与新疆工程学院签订的《准东经济技术开发区管委会 新疆工程学院共建准东现代产业学院合作框架协议》及其补充协议书，与昌吉职业技术学院签订的《准东经济技术开发区管委会 昌吉职业技术学院合作办学协议》。共安排下达资金2429.19万元，为本级财政资金，最终确定项目资金总数为2429.19万元。截至2024年12月31日，实际支出2142.43万元，预算执行率88.20%。</w:t>
      </w:r>
    </w:p>
    <w:p w14:paraId="09478267">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0061B2B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项目绩效目标包括项目绩效总目标和阶段性目标。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1.项目绩效总目标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解决开发区产业人才供给不足、企业员工培训考核取证问题，管委会和新疆工程学院联合开展产教融合人才培养，并共建准东现代产业学院。为支持准东现代产业学院开展合作办学办训工作，为准东现代产业学院提供办学工作补贴经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实施的前期准备工作：一是准东管委会与新疆工程学院签订的《准东经济技术开发区管委会 新疆工程学院共建准东现代产业学院合作框架协议》及其补充协议书，与昌吉职业技术学院签订的《准东经济技术开发区管委会 昌吉职业技术学院合作办学协议》。二是春、秋季开学前做好园区消防、应急、食品、宿舍等开学前检查工作。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具体实施工作：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适应性”教育，促进学生爱准留准。通过学生在园日常学习及生活、组织参观能源馆、实地考察企业生产情况等途径，进一步促使学生适应准东地区环境、气候、企业生产生活环境等，促进学生爱准留准，为进一步就业准东打好基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立伙食管理委员会。为保障学生就餐质量，学院于年初通过市场化运营，寻找专业餐厅运营商为在园师生提供餐饮服务，并于3月中旬成立伙管会，每月召开伙管会协调会议，就伙委会会议上提出的问题，责令食堂经营商落实整改。每周联合对食堂后厨进行巡查，督促餐厅经营商提高菜品质量，通过专业运营商餐厅饭菜质量卫生情况得到进一步改善和提高；同时畅通沟通渠道，通过调查问卷、线上网络通道等多种方式，征求教职工对就餐等后勤保障工作的建议和意见，并积极予以解决，教育公司全力做好入园师生的后勤保障工作，为产教进一步融合奠定坚实的后勤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成立学生联合会、社团建设情况。准东现代产业学院于2024年4月正式成立准东现代产业学院学生社团及学生会，认真组织学生联合会及社团成员竞选，产生首届准东现代产业学院学生联合会。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开展各类文体活动情况。2024年上半年，准东现代产业学院先后组织风筝节、足球赛、羽毛球赛、篮球赛、台球等各项文体活动并取得圆满成功，组织师生参加开发区健康跑活动，增强在校师生对准东的归属感和使命感。并成立电子创新社团、时光剪影社团、石榴籽志愿者协会、羽毛球协会、五彩足球社团、篮球社团、焊接技术、热血舞社等社团，积极开展各种形式的体育文体赛事和技能培训活动，以丰富学生的课余生活，充实学生的在园生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教学监管，促进学生学得好。一是通过专人管理各类实训室，在提高实训室使用率，确保所有设备随时处于可正常使用状态；二是加强学生管理，通过随机巡查上课情况，规范课堂秩序，提升教学质量；三是聘请企业专业技术人员兼职授课，进一步激发学生实操课程兴趣，并接轨企业现状，确保学生学有所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作共建实训室。为了提高学生的实践能力和专业技能，结合当地企业用工需求，准东市场和行业趋势合作共建实训室，配备先进的设备和技术，提供真实的职业环境，提高学生职业技能和就业竞争力，有利于企业人才储备和培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立产教联合体。以开发区人社局作为牵头单位，打造兼具人才培养、创新创业、促进产业经济高质量发展功能的联合体。统筹产教资源制定建设规划，建立科学有效的运行机制，搭建人才供需信息平台，建设共性技术服务平台，创新协同共治的人才培养体系。培养出更多适应市场需求的高素质人才，推动开发区经济高质量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验收阶段的具体工作：一是核查学生在园人数、奖助学金，教师考勤、授课情况，运送学生车辆信息等材料。二是实行半年、年度考核，从学校对学生日常管理、学生就业率等方面进行考核，对学校拨付合作办学经费比例依据考核结果进行核减。</w:t>
      </w:r>
    </w:p>
    <w:p w14:paraId="32FB00C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5AD5890B">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1E5F5AF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本次绩效评价遵循财政部《项目支出绩效评价管理办法》（财预〔2020〕10号）、《关于印发〈中央部门项目支出核心绩效目标和指标设置及取值指引（试行）〉的通知》（财预〔2021〕101号）</w:t>
      </w:r>
      <w:r>
        <w:rPr>
          <w:rStyle w:val="18"/>
          <w:rFonts w:hint="eastAsia" w:ascii="楷体" w:hAnsi="楷体" w:eastAsia="楷体"/>
          <w:b w:val="0"/>
          <w:bCs w:val="0"/>
          <w:spacing w:val="-4"/>
          <w:sz w:val="32"/>
          <w:szCs w:val="32"/>
          <w:lang w:eastAsia="zh-CN"/>
        </w:rPr>
        <w:t>以及</w:t>
      </w:r>
      <w:r>
        <w:rPr>
          <w:rStyle w:val="18"/>
          <w:rFonts w:hint="eastAsia" w:ascii="楷体" w:hAnsi="楷体" w:eastAsia="楷体"/>
          <w:b w:val="0"/>
          <w:bCs w:val="0"/>
          <w:spacing w:val="-4"/>
          <w:sz w:val="32"/>
          <w:szCs w:val="32"/>
        </w:rPr>
        <w:t>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14:paraId="006CE52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657BD4A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（二）绩效评价原则、评价指标体系、评价方法评价标准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本次绩效评价遵循的原则包括：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报告主要采用现场实地调研、专家访谈和集体讨论等方式实施绩效评估。本次评价工作依据项目申报单位提供的前期资料开展评估工作，由于本项目为新增项目，本级同类项目可参考依据不足，因此综合考虑，采取以下2种评估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（1）成本效益分析法。成本效益分析法适用于效益可以量化的项目，通过将项目的预算支出安排与预期效益进行对比，寻求以最小成本获取最大收益的投入方式。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（2）公众评判法。是指通过专家评估、集体决策等方式对预期效果进行评判，评价绩效目标实现程度。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绩效评价标准通常包括计划标准、行业标准、历史标准等，用于对绩效指标完成情况进行比较、分析、评价。本次评价主要采用了计划标准。</w:t>
      </w:r>
    </w:p>
    <w:p w14:paraId="13E80928">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425C1B4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第一阶段：前期准备。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刘国民任评价组组长，绩效评价工作职责为负责全盘工作。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管堃任评价组副组长，绩效评价工作职责为为对项目实施情况进行实地调查。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杨国亮任评价组成员，绩效评价工作职责为负责资料审核等工作。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首先按照指标体系进行定量、定性分析。其次开展量化打分、综合评价工作，形成初步评价结论。最后归纳整体项目情况与存在问题，撰写部门绩效评价报告。</w:t>
      </w:r>
    </w:p>
    <w:p w14:paraId="7BD462F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5BCC62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实施准东现代产业学院2023年下半年至2024年费用（合作办学费用）项目产生社会效益，为准东开发区产业发展提供智力支撑与人才保障。项目实施主要通过项目决策、项目过程、项目产出以及项目效益等方面进行评价，其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项目决策：该项目属连续项目，主要通过新准党纪〔2023〕3号 党工委第3次会议纪要、新准党纪〔2023〕30号 党工委第26次会议纪要文件立项，项目实施符合要求，项目立项依据充分，立项程序规范。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准东现代产业学院2023年下半年至2024年费用（合作办学费用）项目预算安排2142.43万元，实际支出2142.43万元，预算执行率100%。项目资金使用合规，项目财务管理制度健全，财务监控到位，所有资金支付均按照国库集中支付制度严格执行，现有项目管理制度执行情况良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项目产出：项目实现准东开发区1300余名毕业生在准就业，实现毕业生在准就业率60%以上。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项目效益：此项目属教育项目，未产生经济效益，项目实施阶段性解决准东开发区人才供给不足，企业招工困难的问题。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（二）综合评价结论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总分设置为100分，划分为四档：90（含）-100分为“优”、80（含）-90分为“良”、70（含）-80分为“中”、70分以下为“差”。经对准东现代产业学院2023年下半年至2024年费用（合作办学费用）项目进行客观评价，最终评分结果：评价总分99.64分，绩效等级为“优”。</w:t>
      </w:r>
    </w:p>
    <w:p w14:paraId="54C90554">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42A9E74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43029D87">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（1）立项依据充分性：结合准东开发区人力资源和社会保障局职责，并组织实施。围绕合作办学年度工作重点和工作计划制定经费预算，根据评分标准，该指标不扣分，得3分。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根据决策依据编制工作计划和经费预算，经过与合作院校、科室分管领导及部门主要领导进行核算、汇报确定经费预算计划，上党委会研究确定最终预算方案，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（3）绩效目标合理性：制定了实施方案，明确了总体思路及目标。一级指标设置3条，二级指标设置12条，三级指标设置12条，与项目实际实施内容相符。根据评分标准，该指标不扣分，得3分。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（4）绩效指标明确性：将项目绩效目标细化分解为春秋入学人数、入驻教师人数、常驻教师人数、教学运行补贴标准等具体的绩效指标，根据评分标准，该指标不扣分，得2分。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（5）预算编制科学性：预算编制通过2023年第26次党工委会审议，内容与项目内容匹配，项目投资额与工作任务相匹配，根据评分标准，该指标不扣分，得3分。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（6）资金分配合理性：资金分配与实际相适应，共支付4家单位，合计支付2142.43万元。分别为：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支付新疆工程学院2023年合作做办学费用498.42万元；2024年合作办学费用367.74万元。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支付昌吉职业技术学院2024年合作办学费用132.49万元。支付新疆轻工职业技术学院2024年上半年合作办学费用13.46万元。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支付新疆准东教育科技有限公司2023年园区公共运行经费660.42万元；2024年园区公共运行经费469.9万元，根据评分标准，该指标不扣分，得2分。</w:t>
      </w:r>
      <w:r>
        <w:rPr>
          <w:rStyle w:val="18"/>
          <w:rFonts w:hint="eastAsia" w:ascii="楷体" w:hAnsi="楷体" w:eastAsia="楷体"/>
          <w:b w:val="0"/>
          <w:bCs w:val="0"/>
          <w:spacing w:val="-4"/>
          <w:sz w:val="32"/>
          <w:szCs w:val="32"/>
        </w:rPr>
        <w:tab/>
      </w:r>
    </w:p>
    <w:p w14:paraId="3B217DFD">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470024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项目过程类指标包括资金管理和组织实施两方面的内容，由5个三级指标构成，权重分为20分，实际得分19.64分，得分率为98.2%。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（1）资金到位率：准东现代产业学院2023年下半年至2024年费用（合作办学费用）项目，预算为2429.19万元，财政资金足额拨付到位，到位率100%，综上，资金拨付到位。根据评分标准，该指标不扣分，得3分。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我单位执行数为2142.43万元，执行率88.2%。能够及时足额按照合同约定将专项资金拨付给联合体单位，预算编制较为详细，项目资金支出总体能够按照预算执行，根据评分标准，该指标扣分0.36分，得2.64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准东开发区管委会制定《新疆准东经济技术开发区支持准东现代产业学院合作办学办训工作暂行办法》，并制定了年度考核，依据年度考核结果对学校进行资金拨付。项目经费使用管理规范，财务制度健全、执行严格，根据评分标准，该指标不扣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（4）管理制度健全性：制定了学校相关管理办法，设置学期考核、年度考核，对财政专项资金进行严格管理，完全做到了专款专用，根据评分标准，该指标不扣分，得5分。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由部门提出经费预算支出可行性方案，经过与分管领导沟通后，报党工委会议研究执行，财务对资金的使用合法合规性进行监督，年底对资金使用效果进行自评，根据评分标准，该指标不扣分，得5分。</w:t>
      </w:r>
    </w:p>
    <w:p w14:paraId="53EC8CC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4F490F4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项目产出类指标包括产出数量、产出质量、产出时效、产出成本四方面的内容，由4个三级指标构成，权重分为55分，实际得分55分，得分率为100%。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（1）对于“产出数量”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2023年春秋两季入驻学生人数指标，预期指标值为1751人，实际完成值为1751人，指标完成率为100%，与预期目标一致，根据评分标准，该指标不扣分，得3分。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2024年春秋两季入驻学生人数指标，预期指标值为2800人，实际完成值为3989人，指标完成率为142.46%，指标超额完成，后期根据项目实际情况及时调整目标，根据评分标准，该指标不扣分，得3分。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入驻教师人数指标，预期指标值为95人，实际完成值为95人，指标完成率为100%，与预期目标一致，根据评分标准，该指标不扣分，得2分。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常驻教师人数指标，预期指标值为18人，实际完成值为18人，指标完成率为100%，与预期目标一致，根据评分标准，该指标不扣分，得2分。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（2）对于“产出质量”：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“订单化”人才定制化培养落实率指标，预期指标值为100%，实际完成值为100%，指标完成率为100%，与预期目标一致，根据评分标准，该指标不扣分，得10分。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（3）对于“产出时效”：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补贴经费拨付时限指标，预期指标值为2024年12月10日前，实际完成值为2024年11月22日，指标完成率为100%，与预期目标一致，根据评分标准，该指标不扣分，得10分。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（4）对于“产出成本”：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本科教学运行费用补贴指标，预期指标值为3000元/人，实际完成值为3000元/人，指标完成率为100%，与预期目标一致，根据评分标准，该指标不扣分，得5分。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专科教学运行费用补贴指标，预期指标值为2500元/人，实际完成值为2500元/人，指标完成率为100%，与预期目标一致，根据评分标准，该指标不扣分，得5分。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一等奖学金标准指标，预期指标值为3000元/人/年，实际完成值为3000元/人/年，指标完成率为100%，与预期目标一致，根据评分标准，该指标不扣分，得5分。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二等奖学金标准指标，预期指标值为2000元/人/年，实际完成值为2000元/人/年，指标完成率为100%，与预期目标一致，根据评分标准，该指标不扣分，得5分。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三等奖学金标准指标，预期指标值为1000元/人/年，实际完成值为1000元/人/年，指标完成率为100%，与预期目标一致，根据评分标准，该指标不扣分，得5分。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合计，得25分。</w:t>
      </w:r>
    </w:p>
    <w:p w14:paraId="2D7B1EF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165CB348">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项目效益类指标包括项目效益1个方面的内容，由2个三级指标构成，权重分为10分，实际得分10分，得分率为100%。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（1）对于“社会效益指标”：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企业人力资源反馈，该指标预期指标值为院校落户获得企业一致好评，实际完成已获得企业对入驻院校的一致好评，指标完成率为100%，与预期指标一致，根据评分标准，该指标不扣分，得10分。</w:t>
      </w:r>
    </w:p>
    <w:p w14:paraId="0DFC4E9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3EFFFDED">
      <w:pPr>
        <w:spacing w:line="540" w:lineRule="exact"/>
        <w:ind w:firstLine="567"/>
        <w:rPr>
          <w:rStyle w:val="18"/>
          <w:rFonts w:hint="eastAsia" w:ascii="楷体" w:hAnsi="楷体" w:eastAsia="楷体"/>
          <w:b w:val="0"/>
          <w:bCs w:val="0"/>
          <w:spacing w:val="-4"/>
          <w:sz w:val="32"/>
          <w:szCs w:val="32"/>
        </w:rPr>
      </w:pPr>
    </w:p>
    <w:p w14:paraId="73D5F3EF">
      <w:pPr>
        <w:spacing w:line="540" w:lineRule="exact"/>
        <w:ind w:firstLine="567"/>
        <w:rPr>
          <w:rStyle w:val="18"/>
          <w:rFonts w:ascii="楷体" w:hAnsi="楷体" w:eastAsia="楷体"/>
          <w:spacing w:val="-4"/>
          <w:sz w:val="32"/>
          <w:szCs w:val="32"/>
        </w:rPr>
      </w:pPr>
    </w:p>
    <w:p w14:paraId="699E0CF4">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4F8775E2">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准东现代产业学院2023年下半年至2024年费用（合作办学费用）项目预算2429.19万元，到位2429.19万元，实际支出2142.43万元，预算执行率为88.2%，项目绩效指标总体完成率为103.54%，偏差率为15.34%，存在偏差主要原因为完成指标情况超额度不高，申请该项目时填写人员存在估算偏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1.强化前期准备工作，为保证本项目顺利进行并发挥预期效益，应扎实做好项目的前期工作，稳步推进项目实施。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2.项目实施过程中严格执行相关制度。科学、严格的组织管理是项目顺利实施的根本保证，因此，要做好项目组织架构管理。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3.建议项目建设单位建立健全的风险管理机制，强化风险意识，做好风险的识别、控制与监督。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项目预算无法精确，原因是本项目需预估次年产教学院运行情况、来园学生、老师数量，通过上述数据预估费用，对项目目标及费用预算造成一定偏差。</w:t>
      </w:r>
    </w:p>
    <w:p w14:paraId="4015C49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2BC35F88">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1.强化前期准备工作，为保证本项目顺利进行并发挥预期效益，应扎实做好项目的前期工作，稳步推进项目实施。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2.项目实施过程中严格执行相关制度。科学、严格的组织管理是项目顺利实施的根本保证，因此，要做好项目组织架构管理。</w:t>
      </w:r>
    </w:p>
    <w:p w14:paraId="3D13816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764766B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14:paraId="3289E2AB">
      <w:pPr>
        <w:spacing w:line="540" w:lineRule="exact"/>
        <w:ind w:firstLine="567"/>
        <w:rPr>
          <w:rStyle w:val="18"/>
          <w:rFonts w:ascii="仿宋" w:hAnsi="仿宋" w:eastAsia="仿宋"/>
          <w:b w:val="0"/>
          <w:spacing w:val="-4"/>
          <w:sz w:val="32"/>
          <w:szCs w:val="32"/>
        </w:rPr>
      </w:pPr>
    </w:p>
    <w:p w14:paraId="1841D3E1">
      <w:pPr>
        <w:spacing w:line="540" w:lineRule="exact"/>
        <w:ind w:firstLine="567"/>
        <w:rPr>
          <w:rStyle w:val="18"/>
          <w:rFonts w:ascii="仿宋" w:hAnsi="仿宋" w:eastAsia="仿宋"/>
          <w:b w:val="0"/>
          <w:spacing w:val="-4"/>
          <w:sz w:val="32"/>
          <w:szCs w:val="32"/>
        </w:rPr>
      </w:pPr>
    </w:p>
    <w:p w14:paraId="4D6EE67E">
      <w:pPr>
        <w:spacing w:line="540" w:lineRule="exact"/>
        <w:ind w:firstLine="567"/>
        <w:rPr>
          <w:rStyle w:val="18"/>
          <w:rFonts w:ascii="仿宋" w:hAnsi="仿宋" w:eastAsia="仿宋"/>
          <w:b w:val="0"/>
          <w:spacing w:val="-4"/>
          <w:sz w:val="32"/>
          <w:szCs w:val="32"/>
        </w:rPr>
      </w:pPr>
    </w:p>
    <w:p w14:paraId="47A56D35">
      <w:pPr>
        <w:spacing w:line="540" w:lineRule="exact"/>
        <w:ind w:firstLine="567"/>
        <w:rPr>
          <w:rStyle w:val="18"/>
          <w:rFonts w:ascii="仿宋" w:hAnsi="仿宋" w:eastAsia="仿宋"/>
          <w:b w:val="0"/>
          <w:spacing w:val="-4"/>
          <w:sz w:val="32"/>
          <w:szCs w:val="32"/>
        </w:rPr>
      </w:pPr>
    </w:p>
    <w:p w14:paraId="102B2766">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D65BD76">
        <w:pPr>
          <w:pStyle w:val="12"/>
          <w:jc w:val="center"/>
        </w:pPr>
        <w:r>
          <w:fldChar w:fldCharType="begin"/>
        </w:r>
        <w:r>
          <w:instrText xml:space="preserve">PAGE   \* MERGEFORMAT</w:instrText>
        </w:r>
        <w:r>
          <w:fldChar w:fldCharType="separate"/>
        </w:r>
        <w:r>
          <w:rPr>
            <w:lang w:val="zh-CN"/>
          </w:rPr>
          <w:t>2</w:t>
        </w:r>
        <w:r>
          <w:fldChar w:fldCharType="end"/>
        </w:r>
      </w:p>
    </w:sdtContent>
  </w:sdt>
  <w:p w14:paraId="0DC6CCCB">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 w:val="7EB76E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9097</Words>
  <Characters>9580</Characters>
  <Lines>4</Lines>
  <Paragraphs>1</Paragraphs>
  <TotalTime>7</TotalTime>
  <ScaleCrop>false</ScaleCrop>
  <LinksUpToDate>false</LinksUpToDate>
  <CharactersWithSpaces>9600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小麦啾</cp:lastModifiedBy>
  <cp:lastPrinted>2018-12-31T10:56:00Z</cp:lastPrinted>
  <dcterms:modified xsi:type="dcterms:W3CDTF">2025-10-30T09:44:47Z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F893A0B532A04FE58AB10411FA73D008_13</vt:lpwstr>
  </property>
  <property fmtid="{D5CDD505-2E9C-101B-9397-08002B2CF9AE}" pid="4" name="KSOTemplateDocerSaveRecord">
    <vt:lpwstr>eyJoZGlkIjoiM2Q5NDlmNDc3N2ZkYzk3ZGJmOTUwNTM0Mzc5MTVlNDMiLCJ1c2VySWQiOiIzMjQ5NjUzODcifQ==</vt:lpwstr>
  </property>
</Properties>
</file>