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1F1BE0">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2ACAADAC">
      <w:pPr>
        <w:spacing w:line="540" w:lineRule="exact"/>
        <w:jc w:val="center"/>
        <w:rPr>
          <w:rFonts w:ascii="华文中宋" w:hAnsi="华文中宋" w:eastAsia="华文中宋" w:cs="宋体"/>
          <w:b/>
          <w:kern w:val="0"/>
          <w:sz w:val="52"/>
          <w:szCs w:val="52"/>
        </w:rPr>
      </w:pPr>
    </w:p>
    <w:p w14:paraId="5A8E3775">
      <w:pPr>
        <w:spacing w:line="540" w:lineRule="exact"/>
        <w:jc w:val="center"/>
        <w:rPr>
          <w:rFonts w:ascii="华文中宋" w:hAnsi="华文中宋" w:eastAsia="华文中宋" w:cs="宋体"/>
          <w:b/>
          <w:kern w:val="0"/>
          <w:sz w:val="52"/>
          <w:szCs w:val="52"/>
        </w:rPr>
      </w:pPr>
    </w:p>
    <w:p w14:paraId="4CC8A862">
      <w:pPr>
        <w:spacing w:line="540" w:lineRule="exact"/>
        <w:jc w:val="center"/>
        <w:rPr>
          <w:rFonts w:ascii="华文中宋" w:hAnsi="华文中宋" w:eastAsia="华文中宋" w:cs="宋体"/>
          <w:b/>
          <w:kern w:val="0"/>
          <w:sz w:val="52"/>
          <w:szCs w:val="52"/>
        </w:rPr>
      </w:pPr>
    </w:p>
    <w:p w14:paraId="3CF6F5A7">
      <w:pPr>
        <w:spacing w:line="540" w:lineRule="exact"/>
        <w:jc w:val="center"/>
        <w:rPr>
          <w:rFonts w:ascii="华文中宋" w:hAnsi="华文中宋" w:eastAsia="华文中宋" w:cs="宋体"/>
          <w:b/>
          <w:kern w:val="0"/>
          <w:sz w:val="52"/>
          <w:szCs w:val="52"/>
        </w:rPr>
      </w:pPr>
    </w:p>
    <w:p w14:paraId="0A70915C">
      <w:pPr>
        <w:spacing w:line="540" w:lineRule="exact"/>
        <w:jc w:val="center"/>
        <w:rPr>
          <w:rFonts w:ascii="华文中宋" w:hAnsi="华文中宋" w:eastAsia="华文中宋" w:cs="宋体"/>
          <w:b/>
          <w:kern w:val="0"/>
          <w:sz w:val="52"/>
          <w:szCs w:val="52"/>
        </w:rPr>
      </w:pPr>
    </w:p>
    <w:p w14:paraId="0113E088">
      <w:pPr>
        <w:spacing w:line="540" w:lineRule="exact"/>
        <w:jc w:val="center"/>
        <w:rPr>
          <w:rFonts w:ascii="华文中宋" w:hAnsi="华文中宋" w:eastAsia="华文中宋" w:cs="宋体"/>
          <w:b/>
          <w:kern w:val="0"/>
          <w:sz w:val="52"/>
          <w:szCs w:val="52"/>
        </w:rPr>
      </w:pPr>
    </w:p>
    <w:p w14:paraId="4095528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C6270D0">
      <w:pPr>
        <w:spacing w:line="540" w:lineRule="exact"/>
        <w:jc w:val="center"/>
        <w:rPr>
          <w:rFonts w:ascii="华文中宋" w:hAnsi="华文中宋" w:eastAsia="华文中宋" w:cs="宋体"/>
          <w:b/>
          <w:kern w:val="0"/>
          <w:sz w:val="52"/>
          <w:szCs w:val="52"/>
        </w:rPr>
      </w:pPr>
    </w:p>
    <w:p w14:paraId="04AD610B">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485EFCA">
      <w:pPr>
        <w:spacing w:line="540" w:lineRule="exact"/>
        <w:jc w:val="center"/>
        <w:rPr>
          <w:rFonts w:hAnsi="宋体" w:eastAsia="仿宋_GB2312" w:cs="宋体"/>
          <w:kern w:val="0"/>
          <w:sz w:val="30"/>
          <w:szCs w:val="30"/>
        </w:rPr>
      </w:pPr>
    </w:p>
    <w:p w14:paraId="0249F7FE">
      <w:pPr>
        <w:spacing w:line="540" w:lineRule="exact"/>
        <w:jc w:val="center"/>
        <w:rPr>
          <w:rFonts w:hAnsi="宋体" w:eastAsia="仿宋_GB2312" w:cs="宋体"/>
          <w:kern w:val="0"/>
          <w:sz w:val="30"/>
          <w:szCs w:val="30"/>
        </w:rPr>
      </w:pPr>
    </w:p>
    <w:p w14:paraId="13ACCB93">
      <w:pPr>
        <w:spacing w:line="540" w:lineRule="exact"/>
        <w:jc w:val="center"/>
        <w:rPr>
          <w:rFonts w:hAnsi="宋体" w:eastAsia="仿宋_GB2312" w:cs="宋体"/>
          <w:kern w:val="0"/>
          <w:sz w:val="30"/>
          <w:szCs w:val="30"/>
        </w:rPr>
      </w:pPr>
    </w:p>
    <w:p w14:paraId="5F5254AB">
      <w:pPr>
        <w:spacing w:line="540" w:lineRule="exact"/>
        <w:jc w:val="center"/>
        <w:rPr>
          <w:rFonts w:hAnsi="宋体" w:eastAsia="仿宋_GB2312" w:cs="宋体"/>
          <w:kern w:val="0"/>
          <w:sz w:val="30"/>
          <w:szCs w:val="30"/>
        </w:rPr>
      </w:pPr>
    </w:p>
    <w:p w14:paraId="46BE1EE5">
      <w:pPr>
        <w:spacing w:line="540" w:lineRule="exact"/>
        <w:jc w:val="center"/>
        <w:rPr>
          <w:rFonts w:hAnsi="宋体" w:eastAsia="仿宋_GB2312" w:cs="宋体"/>
          <w:kern w:val="0"/>
          <w:sz w:val="30"/>
          <w:szCs w:val="30"/>
        </w:rPr>
      </w:pPr>
    </w:p>
    <w:p w14:paraId="33CB8A99">
      <w:pPr>
        <w:spacing w:line="540" w:lineRule="exact"/>
        <w:jc w:val="center"/>
        <w:rPr>
          <w:rFonts w:hAnsi="宋体" w:eastAsia="仿宋_GB2312" w:cs="宋体"/>
          <w:kern w:val="0"/>
          <w:sz w:val="30"/>
          <w:szCs w:val="30"/>
        </w:rPr>
      </w:pPr>
    </w:p>
    <w:p w14:paraId="11671779">
      <w:pPr>
        <w:spacing w:line="540" w:lineRule="exact"/>
        <w:rPr>
          <w:rFonts w:hAnsi="宋体" w:eastAsia="仿宋_GB2312" w:cs="宋体"/>
          <w:kern w:val="0"/>
          <w:sz w:val="30"/>
          <w:szCs w:val="30"/>
        </w:rPr>
      </w:pPr>
    </w:p>
    <w:p w14:paraId="6E8A902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B130A1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环保局“三线一单”减污降碳协同管控试点经费</w:t>
      </w:r>
    </w:p>
    <w:p w14:paraId="3429354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环保局</w:t>
      </w:r>
    </w:p>
    <w:p w14:paraId="42DA34E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环保局</w:t>
      </w:r>
    </w:p>
    <w:p w14:paraId="7F1ED3B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韩彬</w:t>
      </w:r>
    </w:p>
    <w:p w14:paraId="64733ACF">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2025年05月19日</w:t>
      </w:r>
    </w:p>
    <w:p w14:paraId="642B5D12">
      <w:pPr>
        <w:spacing w:line="700" w:lineRule="exact"/>
        <w:ind w:firstLine="708" w:firstLineChars="236"/>
        <w:jc w:val="left"/>
        <w:rPr>
          <w:rFonts w:hAnsi="宋体" w:eastAsia="仿宋_GB2312" w:cs="宋体"/>
          <w:kern w:val="0"/>
          <w:sz w:val="30"/>
          <w:szCs w:val="30"/>
        </w:rPr>
      </w:pPr>
    </w:p>
    <w:p w14:paraId="681EE48D">
      <w:pPr>
        <w:spacing w:line="540" w:lineRule="exact"/>
        <w:rPr>
          <w:rStyle w:val="18"/>
          <w:rFonts w:ascii="黑体" w:hAnsi="黑体" w:eastAsia="黑体"/>
          <w:b w:val="0"/>
          <w:spacing w:val="-4"/>
          <w:sz w:val="32"/>
          <w:szCs w:val="32"/>
        </w:rPr>
      </w:pPr>
    </w:p>
    <w:p w14:paraId="0E8E8CB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F98C304">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109663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三线一单”减污降碳协同管控试点项目遵循财政部《项目支出绩效评价管理办法》（财预〔2020〕10号）和自治区财政厅《自治区财政支出绩效评价管理暂行办法》（新财预〔2018〕189号）等相关政策文件与规定，旨在评价准东经济技术开发区“三线一单”减污降碳协同管控项目实施前期、过程及效果，评价财政预算资金使用的效率及效益。实施“三线一单”（生态保护红线、环境质量底线、资源利用上线和生态环境准入清单）生态环境分区管控是党中央重大决策部署，是党的二十届三中全会确定的重要改革任务之一。随着碳达峰、碳中和目标的提出，我国生态环境保护进入以节能降碳、减污降碳协同增效为重点的治理阶段。通过该项目的实施，可将减污降碳协同管控目标、路径和关键措施纳入准东经济技术开发区“三线一单”生态环境分区管控中，为准东经济技术开发区高质量发展提供决策支撑和管理工具，同时为国家“三线一单”生态环境分区管控体系主动适应“双碳”战略目标、推动减污降碳协同管控提供技术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三线一单”减污降碳协同管控试点项目贯彻落实国家“协同推进降碳、减污、扩绿、增长”要求，以支撑重点区域和行业生态环境源头预防管理为导向，依托生态环境部“三线一单”减污降碳协同管控试点，针对工业园区缺乏从规划决策、源头管控、工艺过程控制到末端治理的减污降碳全过程管控体系等关键问题，按照“现状评估-技术研究-策略建议”的思路，以“三线一单”生态环境分区管控方案为基础，识别准东开发区“三线一单”减污降碳协同管控的目标、路径与关键措施，探索形成“三线一单”减污降碳协同管控的技术路径和制度建议，推动“三线一单”减污降碳协同管控的落地应用，为提升准东开发区减污降碳协同增效、深化生态环境分区管控服务产业低碳发展和生态环境精细化管理路径提供支撑。本项目重点围绕准东开发区“三线一单”减污降碳协同管控目标、路径和技术措施开展研究，主要研究内容包括“三线一单”实施应用评估、减污降碳重点管控对象识别与协同性评价、减污降碳潜力与目标可达性分析、“三线一单”优化调整与应用研究四个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5月，生态环境部函复同意开展准东经济技术开发区“三线一单”减污降碳协同管控试点项目。2023年5月31日，项目工作研究结束，形成《新疆准东经济技术开发区“三线一单”减污降碳协同管控试点研究报告》《新疆准东经济技术开发区生态环境准入清单(建议稿)》《工业园区“三线一单”减污降碳协同管控技术路径和政策建议》等成果材料；2023年8月完成试点项目经验总结和成果报送等工作，根据生态环境部试点工作整体安排，项目于2023年12月28日通过专家验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环保局为行政事业单位，纳入2024年部门决算编制范围的有5个办公室：综合科、环境影响评价与排放管理科、监测监察科、污染防治科、昌吉州生态环境保护综合行政执法支队准东大队。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按照《新疆准东经济技术开发区2022年党工委财经委员会第2次会议纪要》（新准党财纪〔2022〕2号）共安排下达资金500万元，为地方财政资金，最终确定项目资金总数为480万元。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按照环保局2024年部门预算批复，年预算批复共安排下达资金384万元，为财政资金，最终确定项目资金总数为384万元。截至2024年12月31日，实际支出384万元，预算执行率100%。</w:t>
      </w:r>
    </w:p>
    <w:p w14:paraId="73E8BB7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900718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经济技术开发区是我国重要能源基地和西部地区发展战略的重要承载地，当前处于产业发展提速增效的关键时期，面临污染物减排和碳排放控制的双重压力，以“三线一单”为抓手促进减污降碳协同增效是破解开发区未来资源环境瓶颈的重要路径。环保局“三线一单”减污降碳协同管控试点项目预期成果为《准东经济技术开发区“三线一单”减污降碳协同管控研究报告》，项目实施可将减污降碳协同管控目标、路径和关键措施纳入准东经济技术开发区“三线一单”生态环境分区管控中，为准东经济技术开发区高质量发展提供决策支撑和管理工具；准东开发区是全国唯一以产业园区为主导的试点地区，项目成果可为国家“三线一单”生态环境分区管控体系主动适应“双碳”战略目标、推动减污降碳协同管控提供技术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实施的前期准备工作：初步识别准东经济技术开发区“三线一单”实施成效与问题，申报生态环境部“三线一单”减污降碳协同管控试点。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完成“三线一单”实施应用评估、减污降碳重点管控对象识别与协同性评价、减污降碳潜力与目标可达性分析、“三线一单”优化调整与应用研究等研究，提出“三线一单”优化调整方案，形成“三线一单”减污降碳协同管控试点研究报告初步成果；开展部门意见征求，组织成果修改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验收阶段的具体工作：完成项目验收，提交开发区管委会审议。根据生态环境部试点工作安排，开展试点经验总结和成果报送等工作。</w:t>
      </w:r>
    </w:p>
    <w:p w14:paraId="52D4852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62C2E8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1F177D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项目以解决准东开发区空气质量监测能力短板为核心，通过完善监测网络、强化数据应用，为区域污染防治、产业可持续发展及公众健康保障提供核心支撑，是落实国家生态战略与地方发展需求的关键举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16A7BFA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5F8B10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三线一单”减污降碳协同管控试点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等6个2级指标，效益下设项目效益1个2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绩效评价标准通常包括计划标准、行业标准、历史标准等，用于对绩效指标完成情况进行比较、分析、评价。本次评价主要采用了比较法。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14:paraId="703D97D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94F87F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余艳杰任评价组组长，绩效评价工作职责为负责全盘工作。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韩彬任评价组副组长，绩效评价工作职责为为对项目实施情况进行实地调查。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肖怀德、柴文杰任评价组成员，绩效评价工作职责为负责资料审核等工作。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4367826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6F1319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环保局“三线一单”减污降碳协同管控试点项目，将减污降碳协同管控目标、路径和关键措施纳入准东经济技术开发区“三线一单”生态环境分区管控中，为准东经济技术开发区高质量发展提供了决策支撑和管理工具，也为国家“三线一单”生态环境分区管控体系主动适应“双碳”战略目标、推动减污降碳协同管控提供了技术支持，产生较好的社会、生态环境和经济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环保局“三线一单”减污降碳协同管控试点项目主要通过关于实施“三线一单”生态环境分区管控的指导意见（试行）文件立项，项目实施符合生态环境部“三线一单”减污降碳协同管控试点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项目过程：环保局“三线一单”减污降碳协同管控试点项目预算安排 384万元，实际支出384万元，预算执行率100%。项目资金使用合规，项目财务管理制度健全，财务监控到位，所有资金支付均按照国库集中支付制度严格执行，现有项目管理制度执行情况良好。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环保局“三线一单”减污降碳协同管控试点项目按照生态环境部试点工作总体安排完成相关工作，编制完成《准东经济技术开发区“三线一单”减污降碳协同管控研究报告》，通过专家评审并得到生态环境部专家组高度评价，项目经费都能控制绩效目标范围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准东开发区是生态环境部函复的全国唯一以工业园区为主导的“三线一单”减污降碳协同管控试点研究地区。此项目更新了准东经济技术开发区生态环境准入清单，为准东经济技术开发区高质量发展提供了决策支撑和管理工具，并完成了新疆维吾尔自治区的科技成果登记（批准登记号20240416），提升了干部队伍工作能力；项目支撑开发区煤炭、煤电、煤化工等多个重大项目环评批复，在国土空间规划优化、产业发展规划、水资源规划编制和实施、环境管理和项目准入审批等方面发挥了重要作用，推动了准东经济技术开发区产业升级、产业空间布局优化、减污降碳协同管控以及生态环境风险防控，产生较好的社会、生态环境和经济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环保局“三线一单”减污降碳协同管控试点项目进行客观评价，最终评分结果：评价总分100分，绩效等级为“优”。</w:t>
      </w:r>
    </w:p>
    <w:p w14:paraId="1578FD7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C2E2DC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15C98FA">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2018年6月，《中共中央  国务院关于全面加强生态环境保护 坚决打好污染防治攻坚战的意见》中提出：“省级党委和政府加快确定生态保护红线、环境质量底线、资源利用上线，制定生态环境准入清单，在地方立法、政策制定、规划编制、执法监管中不得变通突破、降低标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2021年11月，《中共中央 国务院关于深入打好污染防治攻坚战的意见》印发实施，明确“加强生态环境分区管控，加强‘三线一单’成果在政策制定、环境准入、园区管理、执法监管等方面的应用”。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2021年11月《中共中央关于党的百年奋斗重大成就和历史经验的决议》中提出“全方位、全地域、全过程加强生态环境保护，推动划定生态保护红线、环境质量底线、资源利用上线，开展一系列根本性、开创性、长远性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（2）立项程序规范性：根据决策依据编制工作计划和经费预算，经过与环保局分管领导进行沟通、筛选确定经费预算计划，经委务会、财经委员会研究确定最终预算方案，根据评分标准，该指标不扣分，得2分。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环保局“三线一单”减污降碳协同管控试点项目共设置一级指标2个，分别为“产出”、“效益”，全面覆盖项目管理全流程。下设二级指标7个，其中“数量指标”维度包含“新疆准东经济技术开发区“三线一单”减污降碳协同管控研究报告”、“新疆准东经济技术开发区“三线一单”优化调整方案”、“新疆准东经济技术开发区“三线一单”生态环境分区管控制度建议”、“新疆准东经济技术开发区生态环境准入清单”共4项；“质量”维度聚焦“生态环境部审查通过率”1项；“时效”维度设置“项目完成时间”1项；“生态效益”维度聚焦“促进开发区生态环境高水平保护”1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系统梳理，指标设置与项目实施内容匹配度较高：一级指标完整反映“产出-效益”管理闭环；二级指标精准对应资源配置、过程控制、成果交付等核心工作；三级指标通过“研究报告”、“制度建议”、“通过率”、“完成时间”等可量化指标，实现对绩效目标实现程度的有效监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三线一单”减污降碳协同管控试点项目构建的指标体系紧密围绕“三线一单”核心任务，指标设置层次清晰、指向明确。通过“质量达标率”、“完成及时性”等三级指标量化成果提炼质量；以“实施效益”等指标系统评估案例典型性与推广价值；以“绩效目标合理性”“资金分配合理性”等指标精准监测方案衔接度与可行性；通过“实际完成率”、“质量达标率”等产出指标验证管理模式实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经过《关于实施“三线一单”生态环境分区管控的指导意见》环环评〔2021〕108号文件分配资金，资金分配主要包括“预算编制”和“资金分配合理性”。项目投资额与工作任务相匹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环保局“三线一单”减污降碳协同管控试点项目含税经费总额为：人民币480万元，清华大学、北京清华同衡规划设计研究院有限公司合同金额按照《联合体协说书》的约定，技术服务报酬分别为 336万元和144万元。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具体支付方式如下：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1.合同生效后10日内，甲方向乙方支付项目经费总金额的20%，即向乙方一支付人民币67.2万元；向乙方二支付人民币28.8万元。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2.项目初步验收合格后10日内，甲方向乙方支付项目经费总金额的60%，即向乙方一支付人民币201.6万元；向乙方二支付人民币86.4万元。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3.项目最终验收合格后10日内，甲方向乙方支付项目经费总金额的20%，即向乙方一支付人民币67.2万元；向乙方二支付人民币28.8万元。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根据评分标准，该指标不扣分，得2分。</w:t>
      </w:r>
      <w:r>
        <w:rPr>
          <w:rStyle w:val="18"/>
          <w:rFonts w:hint="eastAsia" w:ascii="楷体" w:hAnsi="楷体" w:eastAsia="楷体"/>
          <w:b w:val="0"/>
          <w:bCs w:val="0"/>
          <w:spacing w:val="-4"/>
          <w:sz w:val="32"/>
          <w:szCs w:val="32"/>
        </w:rPr>
        <w:tab/>
      </w:r>
    </w:p>
    <w:p w14:paraId="4B76DB99">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BCAE14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（1）资金到位率：财政资金足额拨付到位，牵头单位能够及时足额按照合同约定将专项资金拨付给联合体单位， 资金到位率100%（实际到位资金384万，预算资金384万）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（2）预算执行率：预算编制较为详细，项目资金支出总体能够按照预算执行，预算执行。率为100%（实际支出资金384万，实际到位资金384万）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（3）资金使用合规性：项目单位严格遵循《新疆准东开发区环保局收支管理制度》等内控规范，建立经费使用审批、支出核验、凭证归档等全流程管理机制。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根据评分标准，该指标不扣分，得4分。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为全面落实生态环境保护主体责任，项目单位严格遵循《新疆准东开发区环保局议事规则》要求，构建了系统完善的环保管理制度体系：一是建立环保决策机制，二是强化制度动态更新机制，每半年对照新颁布的《中华人民共和国环境保护法》《新疆维吾尔自治区大气污染防治条例》等法规开展合规性审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我单位在项目管理全流程中始终秉持合规高效原则，重点强化四个维度规范化建设：一是严格遵循《新疆准东开发区环保局议事规则》，建立"制度检索-合规审查-风险预警"三位一体的法遵管理体系；二是严格执行"三重一大"决策机制，所有项目调整及预算变更均形成党委会决议、专家论证意见、财政备案回执等完整闭环材料；三是构建标准化文档管理体系，现行项目均实现合同正本、验收报告、知识产权证书等核心文件全部电子化归档；四是建立"人才-设备-信息"全方位保障体系，开展“千硕进东”，打造高质量人才引进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根据评分标准，该指标不扣分，得5分。</w:t>
      </w:r>
    </w:p>
    <w:p w14:paraId="28FBC48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056E1A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项目产出类指标包括产出数量、产出质量、产出时效、三方面的内容，由6个三级指标构成，权重分为45分，实际得分45分，得分率为100%。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新疆准东经济技术开发区“三线一单”减污降碳协同管控研究报告数量指标，预期指标值为1份，实际完成值为1份，指标完成率为100%，与预期目标一致，根据评分标准，该指标不扣分，得10分。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新疆准东经济技术开发区“三线一单”优化调整方案数量指标，预期指标值为1份，实际完成值为1份，指标完成率为100%，与预期目标一致，根据评分标准，该指标不扣分，得5分。</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新疆准东经济技术开发区“三线一单”生态环境分区管控制度建议数量指标，预期指标值为1份，实际完成值为1份，指标完成率为100%，与预期目标一致，根据评分标准，该指标不扣分，得5分。</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新疆准东经济技术开发区生态环境准入清单数量指标，预期指标值为1份，实际完成值为1份，指标完成率为100%，与预期目标一致，根据评分标准，该指标不扣分，得5分。</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生态环境部审查通过率指标，预期指标值为100%，实际完成值为100%，指标完成率为100%，与预期目标一致，根据评分标准，该指标不扣分，得10分。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项目完成时间指标，预期指标值为2024年12月10日前，实际完成值为2024年12月10日，指标完成率为100%，与预期目标一致，根据评分标准，该指标不扣分，得10分。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p>
    <w:p w14:paraId="3201427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6DA179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对于“生态效益指标”：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促进开发区生态环境高水平保护，该指标预期指标值为有效，实际完成值为有效，指标完成率为100%，与预期指标一致，根据评分标准，该指标不扣分，得20分。</w:t>
      </w:r>
    </w:p>
    <w:p w14:paraId="1F1A601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395E16ED">
      <w:pPr>
        <w:spacing w:line="540" w:lineRule="exact"/>
        <w:ind w:firstLine="567"/>
        <w:rPr>
          <w:rStyle w:val="18"/>
          <w:rFonts w:hint="eastAsia" w:ascii="楷体" w:hAnsi="楷体" w:eastAsia="楷体"/>
          <w:b w:val="0"/>
          <w:bCs w:val="0"/>
          <w:spacing w:val="-4"/>
          <w:sz w:val="32"/>
          <w:szCs w:val="32"/>
        </w:rPr>
      </w:pPr>
    </w:p>
    <w:p w14:paraId="00C47DBB">
      <w:pPr>
        <w:spacing w:line="540" w:lineRule="exact"/>
        <w:ind w:firstLine="567"/>
        <w:rPr>
          <w:rStyle w:val="18"/>
          <w:rFonts w:ascii="楷体" w:hAnsi="楷体" w:eastAsia="楷体"/>
          <w:spacing w:val="-4"/>
          <w:sz w:val="32"/>
          <w:szCs w:val="32"/>
        </w:rPr>
      </w:pPr>
    </w:p>
    <w:p w14:paraId="71F207F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42D416E">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技术攻关团队系统推进多源数据整合与实地踏勘，分阶段组织实施三批次重点区域勘查行动。针对减污降碳核心管控单元特性，专项研发结构化调研工具，实现重点排放单位调研样本全量采集。深度参与生态环境部试点方案论证会议2次、部省工作协调会议3次，同步完成与准东开发区管委会的5轮次技术对接。研究报告初稿编制，正结合多方意见进行迭代优化。</w:t>
      </w:r>
    </w:p>
    <w:p w14:paraId="49E463E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5D04AC0">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建议优先保护各类自然保护区、饮用水源保护区等各级各类保护地和生态用地；重点管控中心城区、城镇开发区</w:t>
      </w:r>
      <w:r>
        <w:rPr>
          <w:rStyle w:val="18"/>
          <w:rFonts w:hint="eastAsia" w:ascii="楷体" w:hAnsi="楷体" w:eastAsia="楷体"/>
          <w:b w:val="0"/>
          <w:bCs w:val="0"/>
          <w:spacing w:val="-4"/>
          <w:sz w:val="32"/>
          <w:szCs w:val="32"/>
          <w:lang w:eastAsia="zh-CN"/>
        </w:rPr>
        <w:t>及</w:t>
      </w:r>
      <w:r>
        <w:rPr>
          <w:rStyle w:val="18"/>
          <w:rFonts w:hint="eastAsia" w:ascii="楷体" w:hAnsi="楷体" w:eastAsia="楷体"/>
          <w:b w:val="0"/>
          <w:bCs w:val="0"/>
          <w:spacing w:val="-4"/>
          <w:sz w:val="32"/>
          <w:szCs w:val="32"/>
        </w:rPr>
        <w:t>产业园区等人为开发强度比较大的区域。</w:t>
      </w:r>
    </w:p>
    <w:p w14:paraId="0877BEB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095285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56E7608D">
      <w:pPr>
        <w:spacing w:line="540" w:lineRule="exact"/>
        <w:ind w:firstLine="567"/>
        <w:rPr>
          <w:rStyle w:val="18"/>
          <w:rFonts w:ascii="仿宋" w:hAnsi="仿宋" w:eastAsia="仿宋"/>
          <w:b w:val="0"/>
          <w:spacing w:val="-4"/>
          <w:sz w:val="32"/>
          <w:szCs w:val="32"/>
        </w:rPr>
      </w:pPr>
    </w:p>
    <w:p w14:paraId="54DFB949">
      <w:pPr>
        <w:spacing w:line="540" w:lineRule="exact"/>
        <w:ind w:firstLine="567"/>
        <w:rPr>
          <w:rStyle w:val="18"/>
          <w:rFonts w:ascii="仿宋" w:hAnsi="仿宋" w:eastAsia="仿宋"/>
          <w:b w:val="0"/>
          <w:spacing w:val="-4"/>
          <w:sz w:val="32"/>
          <w:szCs w:val="32"/>
        </w:rPr>
      </w:pPr>
    </w:p>
    <w:p w14:paraId="665F8197">
      <w:pPr>
        <w:spacing w:line="540" w:lineRule="exact"/>
        <w:ind w:firstLine="567"/>
        <w:rPr>
          <w:rStyle w:val="18"/>
          <w:rFonts w:ascii="仿宋" w:hAnsi="仿宋" w:eastAsia="仿宋"/>
          <w:b w:val="0"/>
          <w:spacing w:val="-4"/>
          <w:sz w:val="32"/>
          <w:szCs w:val="32"/>
        </w:rPr>
      </w:pPr>
    </w:p>
    <w:p w14:paraId="47B9CD74">
      <w:pPr>
        <w:spacing w:line="540" w:lineRule="exact"/>
        <w:ind w:firstLine="567"/>
        <w:rPr>
          <w:rStyle w:val="18"/>
          <w:rFonts w:ascii="仿宋" w:hAnsi="仿宋" w:eastAsia="仿宋"/>
          <w:b w:val="0"/>
          <w:spacing w:val="-4"/>
          <w:sz w:val="32"/>
          <w:szCs w:val="32"/>
        </w:rPr>
      </w:pPr>
    </w:p>
    <w:p w14:paraId="4B65E95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4D79B32">
        <w:pPr>
          <w:pStyle w:val="12"/>
          <w:jc w:val="center"/>
        </w:pPr>
        <w:r>
          <w:fldChar w:fldCharType="begin"/>
        </w:r>
        <w:r>
          <w:instrText xml:space="preserve">PAGE   \* MERGEFORMAT</w:instrText>
        </w:r>
        <w:r>
          <w:fldChar w:fldCharType="separate"/>
        </w:r>
        <w:r>
          <w:rPr>
            <w:lang w:val="zh-CN"/>
          </w:rPr>
          <w:t>2</w:t>
        </w:r>
        <w:r>
          <w:fldChar w:fldCharType="end"/>
        </w:r>
      </w:p>
    </w:sdtContent>
  </w:sdt>
  <w:p w14:paraId="157F69C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5565375"/>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8346</Words>
  <Characters>8623</Characters>
  <Lines>4</Lines>
  <Paragraphs>1</Paragraphs>
  <TotalTime>7</TotalTime>
  <ScaleCrop>false</ScaleCrop>
  <LinksUpToDate>false</LinksUpToDate>
  <CharactersWithSpaces>8669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2025-10-30T09:29:48Z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10FD520253EB47AC847CCA8295C9AB67_13</vt:lpwstr>
  </property>
  <property fmtid="{D5CDD505-2E9C-101B-9397-08002B2CF9AE}" pid="4" name="KSOTemplateDocerSaveRecord">
    <vt:lpwstr>eyJoZGlkIjoiM2Q5NDlmNDc3N2ZkYzk3ZGJmOTUwNTM0Mzc5MTVlNDMiLCJ1c2VySWQiOiIzMjQ5NjUzODcifQ==</vt:lpwstr>
  </property>
</Properties>
</file>