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0E5F2">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5462F849">
      <w:pPr>
        <w:spacing w:line="540" w:lineRule="exact"/>
        <w:jc w:val="center"/>
        <w:rPr>
          <w:rFonts w:ascii="华文中宋" w:hAnsi="华文中宋" w:eastAsia="华文中宋" w:cs="宋体"/>
          <w:b/>
          <w:kern w:val="0"/>
          <w:sz w:val="52"/>
          <w:szCs w:val="52"/>
        </w:rPr>
      </w:pPr>
    </w:p>
    <w:p w14:paraId="2617610A">
      <w:pPr>
        <w:spacing w:line="540" w:lineRule="exact"/>
        <w:jc w:val="center"/>
        <w:rPr>
          <w:rFonts w:ascii="华文中宋" w:hAnsi="华文中宋" w:eastAsia="华文中宋" w:cs="宋体"/>
          <w:b/>
          <w:kern w:val="0"/>
          <w:sz w:val="52"/>
          <w:szCs w:val="52"/>
        </w:rPr>
      </w:pPr>
    </w:p>
    <w:p w14:paraId="365A8B02">
      <w:pPr>
        <w:spacing w:line="540" w:lineRule="exact"/>
        <w:jc w:val="center"/>
        <w:rPr>
          <w:rFonts w:ascii="华文中宋" w:hAnsi="华文中宋" w:eastAsia="华文中宋" w:cs="宋体"/>
          <w:b/>
          <w:kern w:val="0"/>
          <w:sz w:val="52"/>
          <w:szCs w:val="52"/>
        </w:rPr>
      </w:pPr>
    </w:p>
    <w:p w14:paraId="1C23AC12">
      <w:pPr>
        <w:spacing w:line="540" w:lineRule="exact"/>
        <w:jc w:val="center"/>
        <w:rPr>
          <w:rFonts w:ascii="华文中宋" w:hAnsi="华文中宋" w:eastAsia="华文中宋" w:cs="宋体"/>
          <w:b/>
          <w:kern w:val="0"/>
          <w:sz w:val="52"/>
          <w:szCs w:val="52"/>
        </w:rPr>
      </w:pPr>
    </w:p>
    <w:p w14:paraId="13A6CDD5">
      <w:pPr>
        <w:spacing w:line="540" w:lineRule="exact"/>
        <w:jc w:val="center"/>
        <w:rPr>
          <w:rFonts w:ascii="华文中宋" w:hAnsi="华文中宋" w:eastAsia="华文中宋" w:cs="宋体"/>
          <w:b/>
          <w:kern w:val="0"/>
          <w:sz w:val="52"/>
          <w:szCs w:val="52"/>
        </w:rPr>
      </w:pPr>
    </w:p>
    <w:p w14:paraId="20FCB5F4">
      <w:pPr>
        <w:spacing w:line="540" w:lineRule="exact"/>
        <w:jc w:val="center"/>
        <w:rPr>
          <w:rFonts w:ascii="华文中宋" w:hAnsi="华文中宋" w:eastAsia="华文中宋" w:cs="宋体"/>
          <w:b/>
          <w:kern w:val="0"/>
          <w:sz w:val="52"/>
          <w:szCs w:val="52"/>
        </w:rPr>
      </w:pPr>
    </w:p>
    <w:p w14:paraId="54E0725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BBECB50">
      <w:pPr>
        <w:spacing w:line="540" w:lineRule="exact"/>
        <w:jc w:val="center"/>
        <w:rPr>
          <w:rFonts w:ascii="华文中宋" w:hAnsi="华文中宋" w:eastAsia="华文中宋" w:cs="宋体"/>
          <w:b/>
          <w:kern w:val="0"/>
          <w:sz w:val="52"/>
          <w:szCs w:val="52"/>
        </w:rPr>
      </w:pPr>
    </w:p>
    <w:p w14:paraId="2591A6C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F47CB99">
      <w:pPr>
        <w:spacing w:line="540" w:lineRule="exact"/>
        <w:jc w:val="center"/>
        <w:rPr>
          <w:rFonts w:hAnsi="宋体" w:eastAsia="仿宋_GB2312" w:cs="宋体"/>
          <w:kern w:val="0"/>
          <w:sz w:val="30"/>
          <w:szCs w:val="30"/>
        </w:rPr>
      </w:pPr>
    </w:p>
    <w:p w14:paraId="787255F9">
      <w:pPr>
        <w:spacing w:line="540" w:lineRule="exact"/>
        <w:jc w:val="center"/>
        <w:rPr>
          <w:rFonts w:hAnsi="宋体" w:eastAsia="仿宋_GB2312" w:cs="宋体"/>
          <w:kern w:val="0"/>
          <w:sz w:val="30"/>
          <w:szCs w:val="30"/>
        </w:rPr>
      </w:pPr>
    </w:p>
    <w:p w14:paraId="044E39C2">
      <w:pPr>
        <w:spacing w:line="540" w:lineRule="exact"/>
        <w:jc w:val="center"/>
        <w:rPr>
          <w:rFonts w:hAnsi="宋体" w:eastAsia="仿宋_GB2312" w:cs="宋体"/>
          <w:kern w:val="0"/>
          <w:sz w:val="30"/>
          <w:szCs w:val="30"/>
        </w:rPr>
      </w:pPr>
    </w:p>
    <w:p w14:paraId="3B827FF8">
      <w:pPr>
        <w:spacing w:line="540" w:lineRule="exact"/>
        <w:jc w:val="center"/>
        <w:rPr>
          <w:rFonts w:hAnsi="宋体" w:eastAsia="仿宋_GB2312" w:cs="宋体"/>
          <w:kern w:val="0"/>
          <w:sz w:val="30"/>
          <w:szCs w:val="30"/>
        </w:rPr>
      </w:pPr>
    </w:p>
    <w:p w14:paraId="087E72A8">
      <w:pPr>
        <w:spacing w:line="540" w:lineRule="exact"/>
        <w:jc w:val="center"/>
        <w:rPr>
          <w:rFonts w:hAnsi="宋体" w:eastAsia="仿宋_GB2312" w:cs="宋体"/>
          <w:kern w:val="0"/>
          <w:sz w:val="30"/>
          <w:szCs w:val="30"/>
        </w:rPr>
      </w:pPr>
    </w:p>
    <w:p w14:paraId="494020E9">
      <w:pPr>
        <w:spacing w:line="540" w:lineRule="exact"/>
        <w:jc w:val="center"/>
        <w:rPr>
          <w:rFonts w:hAnsi="宋体" w:eastAsia="仿宋_GB2312" w:cs="宋体"/>
          <w:kern w:val="0"/>
          <w:sz w:val="30"/>
          <w:szCs w:val="30"/>
        </w:rPr>
      </w:pPr>
    </w:p>
    <w:p w14:paraId="243B799F">
      <w:pPr>
        <w:spacing w:line="540" w:lineRule="exact"/>
        <w:rPr>
          <w:rFonts w:hAnsi="宋体" w:eastAsia="仿宋_GB2312" w:cs="宋体"/>
          <w:kern w:val="0"/>
          <w:sz w:val="30"/>
          <w:szCs w:val="30"/>
        </w:rPr>
      </w:pPr>
    </w:p>
    <w:p w14:paraId="23829A4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C7E5FE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水务局新疆准东水务发展有限公司调水价差及调水成本补贴</w:t>
      </w:r>
    </w:p>
    <w:p w14:paraId="793DE37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水务局</w:t>
      </w:r>
    </w:p>
    <w:p w14:paraId="70A0EC3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水务局</w:t>
      </w:r>
    </w:p>
    <w:p w14:paraId="4299E97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何小平</w:t>
      </w:r>
    </w:p>
    <w:p w14:paraId="59A8D97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14:paraId="26370282">
      <w:pPr>
        <w:spacing w:line="700" w:lineRule="exact"/>
        <w:ind w:firstLine="708" w:firstLineChars="236"/>
        <w:jc w:val="left"/>
        <w:rPr>
          <w:rFonts w:hAnsi="宋体" w:eastAsia="仿宋_GB2312" w:cs="宋体"/>
          <w:kern w:val="0"/>
          <w:sz w:val="30"/>
          <w:szCs w:val="30"/>
        </w:rPr>
      </w:pPr>
    </w:p>
    <w:p w14:paraId="436F5548">
      <w:pPr>
        <w:spacing w:line="540" w:lineRule="exact"/>
        <w:rPr>
          <w:rStyle w:val="18"/>
          <w:rFonts w:ascii="黑体" w:hAnsi="黑体" w:eastAsia="黑体"/>
          <w:b w:val="0"/>
          <w:spacing w:val="-4"/>
          <w:sz w:val="32"/>
          <w:szCs w:val="32"/>
        </w:rPr>
      </w:pPr>
    </w:p>
    <w:p w14:paraId="58AE647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048803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B4468C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文件规定。准东开发区水资源短缺，需从外调取生产用水，原水价增高，而近期二步工程作为开发区主要的外调水工程，须通过调水价差及调水成本补贴项目，保障准东开发区企业用水，促进准东经济发展。根据中共新疆准东经济技术开发区工作委员会财经委员会会议纪要（新准党财纪﹝2024﹞1号文件），新疆准东水务发展有限公司及时上缴2023年度近期二步项目运营收益;2024年水务局按季度向新疆准东水务发展有限公司拨付近期二步项目运营水价差及调水成本补贴资金，确保准东用水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2024年1月23日准东开发区党工委书记、财经委员会主任张建彬主持召开2024年开发区党工委财经委员会第一次会议，会议审议通过了关于财政局申请拨付新疆准东水务发展有限公司调水价差及调水成本补贴 5621万元的请示。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会议决定:从2024年开发区财政预算水土保持费中拨付水务局新疆准东水务发展有限公司2023年近期二步运营水价差及调水成本补贴5621万元，其中:调水价差4625万元;电费726万元;人工成本 216万元;管理费用54万元。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会议要求:一是新疆准东水务发展有限公司及时上缴2023年度近期二步项目运营收益;二是2024年水务局按季度向新疆准东水务发展有限公司拨付近期二步项目运营水价差及调水成本补贴资金。新疆准东水务发展有限公司及时上缴项目运营收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水务局为新疆准东经济技术开发区管理委员会内设部门，项目所做预算均纳入2024年开发区预算。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10人，其中：行政人员编制2人、参公3人、事业编制5人。实有在职人数28人，其中：行政在职2人、参公3人、事业在职5人、非在编12人、挂职3人、社会化人员2人、实习生1人。离退休人员1人，其中：行政退休人员1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开发区安排下达资金9346.79万元，为本级财政资金，最终确定项目资金总数为9346.79万元。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截至2024年12月31日，实际支出9346.79万元，预算执行率100%。</w:t>
      </w:r>
    </w:p>
    <w:p w14:paraId="607960D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F2D95B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根据中共新疆准东经济技术开发区工作委员会财经委员会会议纪要（新准党财纪﹝2024﹞1号文件），从2024年开发区财政预算中按季度拨付水务发展公司2024年近期二步运营水价差及调水成本补贴。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实施的前期准备工作：由新疆准东水务发展有限公司第二季度前10天内准备好上一季度相关资料，并报水务局进行审核。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具体实施工作：由水务局财务及业务科室双方进行初审，待初审无误后报送至准东开发区财政局进行复核，待复核无误后提交准东开发区水务局局务会议审议并支付。</w:t>
      </w:r>
    </w:p>
    <w:p w14:paraId="5AAC1AE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88CD5A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7C38F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24799AB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2EE26D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14:paraId="47FAB0E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1DA2866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高伟任评价组组长，绩效评价工作职责为负责全盘工作。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刘荣任评价组副组长，绩效评价工作职责为为对项目实施情况进行实地调查。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何小平、谭东、李小军任评价组成员，绩效评价工作职责为负责资料审核等工作。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7D76149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6C3C20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通过实施水务局新疆准东水务发展有限公司调水价差及调水成本补贴项目产生社会效益。项目实施主要通过项目决策、项目过程、项目产出以及项目效益等方面进行评价，其中：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项目决策：该项目主要通过新准党财纪﹝2024﹞1号文件确实给予补贴，项目实施符合规定程序要求，项目立项依据充分，立项程序规范。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水务局新疆准东水务发展有限公司调水价差及调水成本补贴项目项目预算安9346.79万元，实际支出9346.79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项目产出：根据中共新疆准东经济技术开发区工作委员会财经委员会会议纪要（新准党财纪﹝2024﹞1号文件），从2024年开发区财政预算中按季度拨付水务发展公司2024年近期二步运营水价差及调水成本补贴。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项目效益：新疆准东水务发展有限公司及时上缴2023年度近期二步项目运营收益;2024年水务局按季度向新疆准东水务发展有限公司拨付近期二步项目运营水价差及调水成本补贴资金，确保准东用水需求。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以及《项目支出绩效评价管理办法》（财预〔2020〕10号）文件，绩效评价总分设置为100分，划分为四档：90（含）-100分为“优”、80（含）-90分为“良”、70（含）-80分为“中”、70分以下为“差”。经对水务局新疆准东水务发展有限公司调水价差及调水成本补贴项目进行客观评价，最终评分结果：评价总分95分，绩效等级为“优”。</w:t>
      </w:r>
    </w:p>
    <w:p w14:paraId="3E0B1B8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AC81C0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9CAB464">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我单位水务局新疆准东水务发展有限公司调水价差及调水成本补贴项目结合准东开发区水务局相关职责，并组织实施。围绕开发区年度工作重点和工作计划制定经费预算，并经根据中共新疆准东经济技术开发区工作委员会财经委员会会议纪要（新准党财纪﹝2024﹞1号）文件同意实施，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我单位水务局新疆准东水务发展有限公司调水价差及调水成本补贴项目根据决策依据编制工作计划和经费预算，按水务局局务会会议制度，上会研究通过后选确定预算计划，并上报管委会研究确定预算方案，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我单位水务局新疆准东水务发展有限公司调水价差及调水成本补贴项目根据项目实际情况制定了实施方案，明确了总体思路及目标、并对任务进行了详细分解，对目标进行了细化，共设置一级指标4条，二级指标10条，三级指标16条，资金管理及组织实施均符合项目实际，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我单位水务局新疆准东水务发展有限公司调水价差及调水成本补贴项目结合项目实际，将项目绩效目标细化分解为年度供水量、2024年第一二季度供水量等具体指标，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预算编制经过科学论证，内容与项目内容匹配，项目投资额与工作任务相匹配，主要从原水费用、电费及人工工资等方面合理确定资金需求，根据评分标准，该指标不扣分，得3分。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（6）资金分配合理性：资金分配与实际相适应，每方水按0.43元补贴，根据运营产生电费及人员工资分配资金，等根据评分标准，该指标不扣分，得2分。</w:t>
      </w:r>
      <w:r>
        <w:rPr>
          <w:rStyle w:val="18"/>
          <w:rFonts w:hint="eastAsia" w:ascii="楷体" w:hAnsi="楷体" w:eastAsia="楷体"/>
          <w:b w:val="0"/>
          <w:bCs w:val="0"/>
          <w:spacing w:val="-4"/>
          <w:sz w:val="32"/>
          <w:szCs w:val="32"/>
        </w:rPr>
        <w:tab/>
      </w:r>
    </w:p>
    <w:p w14:paraId="42F93D0A">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D6E488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（1）资金到位率：预算资金9346.79万元，到位资金9346.79万元，到位率100%，我单位能够及时足额按照合同约定将专项资金拨付给下属单位，根据评分标准，该指标不扣分，得3分。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（2）预算执行率：预算资金9346.79万元，到位资金9346.79万元，支付资金9346.79万元，执行率100%，根据评分标准，该指标不扣分，得3分。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根据中共新疆准东经济技术开发区工作委员会财经委员会会议纪要（新准党财纪﹝2024﹞1号文件）同意对原水价差进行补贴，并制定了相关的制度和管理规定对经费使用进行规范管理，财务制度健全、执行严格，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（4）管理制度健全性：准东水务局根据局务会相关制度及管理办法，对财政专项资金进行严格管理，基本做到了专款专用，资金使用要求符合水务局制度规定，根据评分标准，该指标不扣分，得5分。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部门提出经费预算支出可行性方案，经分管领导审核后，报局务会议研究执行，资金支付及时有效，财务对资金的使用合法合规性进行监督，年底对资金使用效果进行自评，根据评分标准，该指标不扣分，得5分。</w:t>
      </w:r>
    </w:p>
    <w:p w14:paraId="22379C7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FAA5B7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项目产出类指标包括产出数量、产出质量、产出时效、产出成本四方面的内容，由4个三级指标构成，权重分为45分，实际得分40分，得分率为88.89%。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年度供水量指标，预期指标值为10686万/立方米，实际完成值为10686万/立方米，指标完成率为100%，与预期目标一致，根据评分标准，该指标不扣分，得5分。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项目补贴内容指标，预期指标值为4项，实际完成值为4项，指标完成率为100%，与预期目标一致，根据评分标准，该指标不扣分，得5分。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2024年第一二季度供水量指标，预期指标值为4464.04万/立方米，实际完成值为4464.04万/立方米，指标完成率为100%，与预期目标一致，根据评分标准，该指标不扣分，得5分。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供水保障率指标，预期指标值为100%，实际完成值为100%，指标完成率为100%，与预期目标一致，根据评分标准，该指标不扣分，得10分。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项目支付时限指标，预期指标值为2024年3月15日，实际完成值为2024年12月17日，指标完成率为33%，与预期目标不一致，根据评分标准，该指标扣5分，得0分。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（4）对于“产出成本”：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项目人工及运营费用支出指标，预期指标值为1209.1万元，实际完成值为1209.1万元，指标完成率为100%，本年项目经费都能控制绩效目标范围内，根据评分标准，该指标不扣分，得3分。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调水价差支出指标，预期指标值为8137.69万元，实际完成值为8137.69万元，指标完成率为100%，本年项目经费都能控制绩效目标范围内，根据评分标准，该指标不扣分，得12分。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p>
    <w:p w14:paraId="09971E9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12DB29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项目效益类指标包括项目效益1个方面的内容，由1个三级指标构成，权重分为20分，实际得分20分，得分率为100%。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提高开发区用水保障，该指标预期指标值为有效，实际完成值为有效提高准东开发区用水保障，指标完成率为100%，与预期指标一致，根据评分标准，该指标不扣分，得20分。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合计得20分。</w:t>
      </w:r>
    </w:p>
    <w:p w14:paraId="4EC5C85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0D1310A0">
      <w:pPr>
        <w:spacing w:line="540" w:lineRule="exact"/>
        <w:ind w:firstLine="567"/>
        <w:rPr>
          <w:rStyle w:val="18"/>
          <w:rFonts w:hint="eastAsia" w:ascii="楷体" w:hAnsi="楷体" w:eastAsia="楷体"/>
          <w:b w:val="0"/>
          <w:bCs w:val="0"/>
          <w:spacing w:val="-4"/>
          <w:sz w:val="32"/>
          <w:szCs w:val="32"/>
        </w:rPr>
      </w:pPr>
    </w:p>
    <w:p w14:paraId="64190037">
      <w:pPr>
        <w:spacing w:line="540" w:lineRule="exact"/>
        <w:ind w:firstLine="567"/>
        <w:rPr>
          <w:rStyle w:val="18"/>
          <w:rFonts w:ascii="楷体" w:hAnsi="楷体" w:eastAsia="楷体"/>
          <w:spacing w:val="-4"/>
          <w:sz w:val="32"/>
          <w:szCs w:val="32"/>
        </w:rPr>
      </w:pPr>
    </w:p>
    <w:p w14:paraId="2E55E34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5179C4F">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水务局新疆准东水务发展有限公司调水价差及调水成本补贴项目项目预算金额为9346.79万元，执行金额为9346.79万元，执行率为100%，总体完成率为87.5%，偏差率为12.5%，偏差原因：时效指标未按照预期指标实施，实际完成时间与预期指标值之间存在偏差。改进措施：后期根据项目实际情况及时调整目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为确保准东开发区供水管线正常运行，保障企业用水需求，提升供水能力，促进准东经济发展。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项目按照年初预期目标完成全年任务，预算执行情况良好，因该项资金需要准东水务公司每季度进行相应资料报送并予以审核，需水务局与财政局双方审核，时间周期较长，故时效指标完成情况较差。</w:t>
      </w:r>
    </w:p>
    <w:p w14:paraId="53CE823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6B8D6C7">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为确保该项目资金管理合理合规，一是完普财务核算的基础工作，严格道宁相关法律法规，确保各项变出合理合规;二是项目所算资金安排和执行需费科学规划、明眼绩效目标、监理绣设指标体系、绣众评估首理严格控制，确保资金高效使用。</w:t>
      </w:r>
    </w:p>
    <w:p w14:paraId="6B6BAF7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10510FF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48FF7F7D">
      <w:pPr>
        <w:spacing w:line="540" w:lineRule="exact"/>
        <w:ind w:firstLine="567"/>
        <w:rPr>
          <w:rStyle w:val="18"/>
          <w:rFonts w:ascii="仿宋" w:hAnsi="仿宋" w:eastAsia="仿宋"/>
          <w:b w:val="0"/>
          <w:spacing w:val="-4"/>
          <w:sz w:val="32"/>
          <w:szCs w:val="32"/>
        </w:rPr>
      </w:pPr>
    </w:p>
    <w:p w14:paraId="62A8D2D7">
      <w:pPr>
        <w:spacing w:line="540" w:lineRule="exact"/>
        <w:ind w:firstLine="567"/>
        <w:rPr>
          <w:rStyle w:val="18"/>
          <w:rFonts w:ascii="仿宋" w:hAnsi="仿宋" w:eastAsia="仿宋"/>
          <w:b w:val="0"/>
          <w:spacing w:val="-4"/>
          <w:sz w:val="32"/>
          <w:szCs w:val="32"/>
        </w:rPr>
      </w:pPr>
    </w:p>
    <w:p w14:paraId="2C3CFFDF">
      <w:pPr>
        <w:spacing w:line="540" w:lineRule="exact"/>
        <w:ind w:firstLine="567"/>
        <w:rPr>
          <w:rStyle w:val="18"/>
          <w:rFonts w:ascii="仿宋" w:hAnsi="仿宋" w:eastAsia="仿宋"/>
          <w:b w:val="0"/>
          <w:spacing w:val="-4"/>
          <w:sz w:val="32"/>
          <w:szCs w:val="32"/>
        </w:rPr>
      </w:pPr>
    </w:p>
    <w:p w14:paraId="31632256">
      <w:pPr>
        <w:spacing w:line="540" w:lineRule="exact"/>
        <w:ind w:firstLine="567"/>
        <w:rPr>
          <w:rStyle w:val="18"/>
          <w:rFonts w:ascii="仿宋" w:hAnsi="仿宋" w:eastAsia="仿宋"/>
          <w:b w:val="0"/>
          <w:spacing w:val="-4"/>
          <w:sz w:val="32"/>
          <w:szCs w:val="32"/>
        </w:rPr>
      </w:pPr>
    </w:p>
    <w:p w14:paraId="3ABA23F8">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9C47E44">
        <w:pPr>
          <w:pStyle w:val="12"/>
          <w:jc w:val="center"/>
        </w:pPr>
        <w:r>
          <w:fldChar w:fldCharType="begin"/>
        </w:r>
        <w:r>
          <w:instrText xml:space="preserve">PAGE   \* MERGEFORMAT</w:instrText>
        </w:r>
        <w:r>
          <w:fldChar w:fldCharType="separate"/>
        </w:r>
        <w:r>
          <w:rPr>
            <w:lang w:val="zh-CN"/>
          </w:rPr>
          <w:t>2</w:t>
        </w:r>
        <w:r>
          <w:fldChar w:fldCharType="end"/>
        </w:r>
      </w:p>
    </w:sdtContent>
  </w:sdt>
  <w:p w14:paraId="253CCC35">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A02751"/>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6286</Words>
  <Characters>6668</Characters>
  <Lines>4</Lines>
  <Paragraphs>1</Paragraphs>
  <TotalTime>7</TotalTime>
  <ScaleCrop>false</ScaleCrop>
  <LinksUpToDate>false</LinksUpToDate>
  <CharactersWithSpaces>6706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2025-10-30T09:38:08Z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4D1CB1E8B6FC4FC7A6858C5ADB85C21B_13</vt:lpwstr>
  </property>
  <property fmtid="{D5CDD505-2E9C-101B-9397-08002B2CF9AE}" pid="4" name="KSOTemplateDocerSaveRecord">
    <vt:lpwstr>eyJoZGlkIjoiM2Q5NDlmNDc3N2ZkYzk3ZGJmOTUwNTM0Mzc5MTVlNDMiLCJ1c2VySWQiOiIzMjQ5NjUzODcifQ==</vt:lpwstr>
  </property>
</Properties>
</file>