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125ABC">
      <w:pPr>
        <w:ind w:firstLine="0" w:firstLineChars="0"/>
        <w:jc w:val="center"/>
        <w:rPr>
          <w:rFonts w:eastAsia="华文中宋" w:cs="Times New Roman"/>
          <w:sz w:val="36"/>
          <w:szCs w:val="36"/>
        </w:rPr>
      </w:pPr>
      <w:r>
        <w:rPr>
          <w:rFonts w:eastAsia="华文中宋" w:cs="Times New Roman"/>
          <w:sz w:val="36"/>
          <w:szCs w:val="36"/>
        </w:rPr>
        <w:t>《</w:t>
      </w:r>
      <w:r>
        <w:rPr>
          <w:rFonts w:hint="eastAsia" w:eastAsia="华文中宋" w:cs="Times New Roman"/>
          <w:sz w:val="36"/>
          <w:szCs w:val="36"/>
        </w:rPr>
        <w:t>新疆维吾尔自治区准东煤田</w:t>
      </w:r>
      <w:r>
        <w:rPr>
          <w:rFonts w:hint="eastAsia" w:eastAsia="华文中宋" w:cs="Times New Roman"/>
          <w:sz w:val="36"/>
          <w:szCs w:val="36"/>
          <w:lang w:val="en-US" w:eastAsia="zh-CN"/>
        </w:rPr>
        <w:t>将军庙</w:t>
      </w:r>
      <w:r>
        <w:rPr>
          <w:rFonts w:hint="eastAsia" w:eastAsia="华文中宋" w:cs="Times New Roman"/>
          <w:sz w:val="36"/>
          <w:szCs w:val="36"/>
        </w:rPr>
        <w:t>矿区总体规划</w:t>
      </w:r>
      <w:r>
        <w:rPr>
          <w:rFonts w:eastAsia="华文中宋" w:cs="Times New Roman"/>
          <w:sz w:val="36"/>
          <w:szCs w:val="36"/>
        </w:rPr>
        <w:t>》环境影响评价信息公示</w:t>
      </w:r>
    </w:p>
    <w:p w14:paraId="51DEBACD">
      <w:pPr>
        <w:adjustRightInd w:val="0"/>
        <w:snapToGrid w:val="0"/>
        <w:ind w:firstLine="720"/>
        <w:jc w:val="center"/>
        <w:rPr>
          <w:rFonts w:eastAsia="华文中宋" w:cs="Times New Roman"/>
          <w:sz w:val="36"/>
          <w:szCs w:val="36"/>
        </w:rPr>
      </w:pPr>
      <w:bookmarkStart w:id="1" w:name="_GoBack"/>
      <w:bookmarkEnd w:id="1"/>
    </w:p>
    <w:p w14:paraId="512FE16C">
      <w:pPr>
        <w:shd w:val="clear" w:color="auto" w:fill="FFFFFF"/>
        <w:adjustRightInd w:val="0"/>
        <w:snapToGrid w:val="0"/>
        <w:ind w:firstLine="560"/>
        <w:rPr>
          <w:rFonts w:cs="Times New Roman"/>
          <w:kern w:val="0"/>
          <w:sz w:val="28"/>
          <w:szCs w:val="28"/>
        </w:rPr>
      </w:pPr>
      <w:r>
        <w:rPr>
          <w:rFonts w:cs="Times New Roman"/>
          <w:kern w:val="0"/>
          <w:sz w:val="28"/>
          <w:szCs w:val="28"/>
        </w:rPr>
        <w:t>受</w:t>
      </w:r>
      <w:r>
        <w:rPr>
          <w:rFonts w:hint="eastAsia" w:cs="Times New Roman"/>
          <w:kern w:val="0"/>
          <w:sz w:val="28"/>
          <w:szCs w:val="28"/>
        </w:rPr>
        <w:t>新疆准东经济技术开发区</w:t>
      </w:r>
      <w:r>
        <w:rPr>
          <w:rFonts w:hint="eastAsia" w:cs="Times New Roman"/>
          <w:kern w:val="0"/>
          <w:sz w:val="28"/>
          <w:szCs w:val="28"/>
          <w:lang w:val="en-US" w:eastAsia="zh-CN"/>
        </w:rPr>
        <w:t>管委会</w:t>
      </w:r>
      <w:r>
        <w:rPr>
          <w:rFonts w:cs="Times New Roman"/>
          <w:kern w:val="0"/>
          <w:sz w:val="28"/>
          <w:szCs w:val="28"/>
        </w:rPr>
        <w:t>委托，生态环境部环境发展中心（中日友好环境保护中心）承担了《</w:t>
      </w:r>
      <w:r>
        <w:rPr>
          <w:rFonts w:hint="eastAsia" w:cs="Times New Roman"/>
          <w:kern w:val="0"/>
          <w:sz w:val="28"/>
          <w:szCs w:val="28"/>
        </w:rPr>
        <w:t>新疆维吾尔自治区准东煤田</w:t>
      </w:r>
      <w:r>
        <w:rPr>
          <w:rFonts w:hint="eastAsia" w:cs="Times New Roman"/>
          <w:kern w:val="0"/>
          <w:sz w:val="28"/>
          <w:szCs w:val="28"/>
          <w:lang w:val="en-US" w:eastAsia="zh-CN"/>
        </w:rPr>
        <w:t>将军庙</w:t>
      </w:r>
      <w:r>
        <w:rPr>
          <w:rFonts w:hint="eastAsia" w:cs="Times New Roman"/>
          <w:kern w:val="0"/>
          <w:sz w:val="28"/>
          <w:szCs w:val="28"/>
        </w:rPr>
        <w:t>矿区总体规划</w:t>
      </w:r>
      <w:r>
        <w:rPr>
          <w:rFonts w:cs="Times New Roman"/>
          <w:kern w:val="0"/>
          <w:sz w:val="28"/>
          <w:szCs w:val="28"/>
        </w:rPr>
        <w:t>》环境影响评价工作。依据《中华人民共和国环境影响评价法》、《规划环境影响评价条例》和《环境影响评价公众参与办法》等要求，对本次规划环境影响评价进行信息公示。公示内容如下：</w:t>
      </w:r>
    </w:p>
    <w:p w14:paraId="34E7C147">
      <w:pPr>
        <w:shd w:val="clear" w:color="auto" w:fill="FFFFFF"/>
        <w:adjustRightInd w:val="0"/>
        <w:snapToGrid w:val="0"/>
        <w:ind w:firstLine="480" w:firstLineChars="0"/>
        <w:rPr>
          <w:rFonts w:cs="Times New Roman"/>
          <w:color w:val="000000"/>
          <w:kern w:val="0"/>
          <w:sz w:val="28"/>
          <w:szCs w:val="28"/>
        </w:rPr>
      </w:pPr>
      <w:r>
        <w:rPr>
          <w:rFonts w:cs="Times New Roman"/>
          <w:b/>
          <w:bCs/>
          <w:color w:val="000000"/>
          <w:kern w:val="0"/>
          <w:sz w:val="28"/>
          <w:szCs w:val="28"/>
        </w:rPr>
        <w:t>一、规划项目名称及概况</w:t>
      </w:r>
    </w:p>
    <w:p w14:paraId="39EEA0DA">
      <w:pPr>
        <w:shd w:val="clear" w:color="auto" w:fill="FFFFFF"/>
        <w:adjustRightInd w:val="0"/>
        <w:snapToGrid w:val="0"/>
        <w:ind w:firstLine="560"/>
        <w:rPr>
          <w:rFonts w:cs="Times New Roman"/>
          <w:kern w:val="0"/>
          <w:sz w:val="28"/>
          <w:szCs w:val="28"/>
        </w:rPr>
      </w:pPr>
      <w:r>
        <w:rPr>
          <w:rFonts w:cs="Times New Roman"/>
          <w:kern w:val="0"/>
          <w:sz w:val="28"/>
          <w:szCs w:val="28"/>
        </w:rPr>
        <w:t>（一）规划名称</w:t>
      </w:r>
    </w:p>
    <w:p w14:paraId="0ECCE01F">
      <w:pPr>
        <w:shd w:val="clear" w:color="auto" w:fill="FFFFFF"/>
        <w:adjustRightInd w:val="0"/>
        <w:snapToGrid w:val="0"/>
        <w:ind w:firstLine="560"/>
        <w:rPr>
          <w:rFonts w:cs="Times New Roman"/>
          <w:kern w:val="0"/>
          <w:sz w:val="28"/>
          <w:szCs w:val="28"/>
        </w:rPr>
      </w:pPr>
      <w:r>
        <w:rPr>
          <w:rFonts w:hint="eastAsia" w:cs="Times New Roman"/>
          <w:kern w:val="0"/>
          <w:sz w:val="28"/>
          <w:szCs w:val="28"/>
        </w:rPr>
        <w:t>新疆维吾尔自治区准东煤田</w:t>
      </w:r>
      <w:r>
        <w:rPr>
          <w:rFonts w:hint="eastAsia" w:cs="Times New Roman"/>
          <w:kern w:val="0"/>
          <w:sz w:val="28"/>
          <w:szCs w:val="28"/>
          <w:lang w:eastAsia="zh-CN"/>
        </w:rPr>
        <w:t>将军庙</w:t>
      </w:r>
      <w:r>
        <w:rPr>
          <w:rFonts w:hint="eastAsia" w:cs="Times New Roman"/>
          <w:kern w:val="0"/>
          <w:sz w:val="28"/>
          <w:szCs w:val="28"/>
        </w:rPr>
        <w:t>矿区总体规划</w:t>
      </w:r>
    </w:p>
    <w:p w14:paraId="4407E4FF">
      <w:pPr>
        <w:shd w:val="clear" w:color="auto" w:fill="FFFFFF"/>
        <w:adjustRightInd w:val="0"/>
        <w:snapToGrid w:val="0"/>
        <w:ind w:firstLine="560"/>
        <w:rPr>
          <w:rFonts w:cs="Times New Roman"/>
          <w:kern w:val="0"/>
          <w:sz w:val="28"/>
          <w:szCs w:val="28"/>
        </w:rPr>
      </w:pPr>
      <w:r>
        <w:rPr>
          <w:rFonts w:cs="Times New Roman"/>
          <w:kern w:val="0"/>
          <w:sz w:val="28"/>
          <w:szCs w:val="28"/>
        </w:rPr>
        <w:t>（二）规划</w:t>
      </w:r>
      <w:r>
        <w:rPr>
          <w:rFonts w:hint="eastAsia" w:cs="Times New Roman"/>
          <w:kern w:val="0"/>
          <w:sz w:val="28"/>
          <w:szCs w:val="28"/>
        </w:rPr>
        <w:t>概况</w:t>
      </w:r>
    </w:p>
    <w:p w14:paraId="3367C489">
      <w:pPr>
        <w:shd w:val="clear" w:color="auto" w:fill="FFFFFF"/>
        <w:adjustRightInd w:val="0"/>
        <w:snapToGrid w:val="0"/>
        <w:ind w:firstLine="560"/>
        <w:rPr>
          <w:rFonts w:hint="default" w:ascii="Times New Roman" w:hAnsi="Times New Roman" w:eastAsia="宋体" w:cs="Times New Roman"/>
          <w:kern w:val="0"/>
          <w:sz w:val="28"/>
          <w:szCs w:val="28"/>
          <w:highlight w:val="green"/>
          <w:lang w:val="en-US" w:eastAsia="zh-CN"/>
        </w:rPr>
      </w:pPr>
      <w:r>
        <w:rPr>
          <w:rFonts w:hint="default" w:ascii="Times New Roman" w:hAnsi="Times New Roman" w:eastAsia="宋体" w:cs="Times New Roman"/>
          <w:kern w:val="0"/>
          <w:sz w:val="28"/>
          <w:szCs w:val="28"/>
          <w:highlight w:val="none"/>
        </w:rPr>
        <w:t>新疆维吾尔自治区准东煤田</w:t>
      </w:r>
      <w:r>
        <w:rPr>
          <w:rFonts w:hint="default" w:ascii="Times New Roman" w:hAnsi="Times New Roman" w:eastAsia="宋体" w:cs="Times New Roman"/>
          <w:kern w:val="0"/>
          <w:sz w:val="28"/>
          <w:szCs w:val="28"/>
          <w:highlight w:val="none"/>
          <w:lang w:eastAsia="zh-CN"/>
        </w:rPr>
        <w:t>将军庙</w:t>
      </w:r>
      <w:r>
        <w:rPr>
          <w:rFonts w:hint="default" w:ascii="Times New Roman" w:hAnsi="Times New Roman" w:eastAsia="宋体" w:cs="Times New Roman"/>
          <w:kern w:val="0"/>
          <w:sz w:val="28"/>
          <w:szCs w:val="28"/>
          <w:highlight w:val="none"/>
        </w:rPr>
        <w:t>矿区位于奇台县城</w:t>
      </w:r>
      <w:r>
        <w:rPr>
          <w:rFonts w:hint="default" w:ascii="Times New Roman" w:hAnsi="Times New Roman" w:eastAsia="宋体" w:cs="Times New Roman"/>
          <w:kern w:val="0"/>
          <w:sz w:val="28"/>
          <w:szCs w:val="28"/>
          <w:highlight w:val="none"/>
          <w:lang w:val="en-US" w:eastAsia="zh-CN"/>
        </w:rPr>
        <w:t>以</w:t>
      </w:r>
      <w:r>
        <w:rPr>
          <w:rFonts w:hint="default" w:ascii="Times New Roman" w:hAnsi="Times New Roman" w:eastAsia="宋体" w:cs="Times New Roman"/>
          <w:kern w:val="0"/>
          <w:sz w:val="28"/>
          <w:szCs w:val="28"/>
          <w:highlight w:val="none"/>
        </w:rPr>
        <w:t>北</w:t>
      </w:r>
      <w:r>
        <w:rPr>
          <w:rFonts w:hint="default" w:ascii="Times New Roman" w:hAnsi="Times New Roman" w:eastAsia="宋体" w:cs="Times New Roman"/>
          <w:kern w:val="0"/>
          <w:sz w:val="28"/>
          <w:szCs w:val="28"/>
          <w:highlight w:val="none"/>
          <w:lang w:val="en-US" w:eastAsia="zh-CN"/>
        </w:rPr>
        <w:t>5</w:t>
      </w:r>
      <w:r>
        <w:rPr>
          <w:rFonts w:hint="default" w:ascii="Times New Roman" w:hAnsi="Times New Roman" w:eastAsia="宋体" w:cs="Times New Roman"/>
          <w:kern w:val="0"/>
          <w:sz w:val="28"/>
          <w:szCs w:val="28"/>
          <w:highlight w:val="none"/>
        </w:rPr>
        <w:t>0km处的冲积戈壁平原荒漠地带</w:t>
      </w:r>
      <w:r>
        <w:rPr>
          <w:rFonts w:hint="default" w:ascii="Times New Roman" w:hAnsi="Times New Roman" w:eastAsia="宋体" w:cs="Times New Roman"/>
          <w:kern w:val="0"/>
          <w:sz w:val="28"/>
          <w:szCs w:val="28"/>
          <w:highlight w:val="none"/>
          <w:lang w:eastAsia="zh-CN"/>
        </w:rPr>
        <w:t>，</w:t>
      </w:r>
      <w:r>
        <w:rPr>
          <w:rFonts w:hint="default" w:ascii="Times New Roman" w:hAnsi="Times New Roman" w:eastAsia="宋体" w:cs="Times New Roman"/>
          <w:sz w:val="28"/>
          <w:szCs w:val="28"/>
        </w:rPr>
        <w:t>极值地理坐标为：</w:t>
      </w:r>
      <w:r>
        <w:rPr>
          <w:rFonts w:hint="default" w:ascii="Times New Roman" w:hAnsi="Times New Roman" w:eastAsia="宋体" w:cs="Times New Roman"/>
          <w:snapToGrid w:val="0"/>
          <w:sz w:val="28"/>
          <w:szCs w:val="28"/>
        </w:rPr>
        <w:t>东经89°13′03″～90°01′49″、北纬44°18′51″～44°46′17″。</w:t>
      </w:r>
      <w:r>
        <w:rPr>
          <w:rFonts w:hint="default" w:ascii="Times New Roman" w:hAnsi="Times New Roman" w:eastAsia="宋体" w:cs="Times New Roman"/>
          <w:kern w:val="0"/>
          <w:sz w:val="28"/>
          <w:szCs w:val="28"/>
          <w:highlight w:val="none"/>
        </w:rPr>
        <w:t>规划矿区</w:t>
      </w:r>
      <w:r>
        <w:rPr>
          <w:rFonts w:hint="default" w:ascii="Times New Roman" w:hAnsi="Times New Roman" w:eastAsia="宋体" w:cs="Times New Roman"/>
          <w:kern w:val="0"/>
          <w:sz w:val="28"/>
          <w:szCs w:val="28"/>
          <w:highlight w:val="none"/>
          <w:lang w:val="en-US" w:eastAsia="zh-CN"/>
        </w:rPr>
        <w:t>面积</w:t>
      </w:r>
      <w:r>
        <w:rPr>
          <w:rFonts w:hint="default" w:ascii="Times New Roman" w:hAnsi="Times New Roman" w:eastAsia="宋体" w:cs="Times New Roman"/>
          <w:sz w:val="28"/>
          <w:szCs w:val="28"/>
          <w:highlight w:val="none"/>
        </w:rPr>
        <w:t>1766km</w:t>
      </w:r>
      <w:r>
        <w:rPr>
          <w:rFonts w:hint="default" w:ascii="Times New Roman" w:hAnsi="Times New Roman" w:eastAsia="宋体" w:cs="Times New Roman"/>
          <w:sz w:val="28"/>
          <w:szCs w:val="28"/>
          <w:highlight w:val="none"/>
          <w:vertAlign w:val="superscript"/>
        </w:rPr>
        <w:t>2</w:t>
      </w:r>
      <w:r>
        <w:rPr>
          <w:rFonts w:hint="default" w:ascii="Times New Roman" w:hAnsi="Times New Roman" w:eastAsia="宋体" w:cs="Times New Roman"/>
          <w:szCs w:val="24"/>
          <w:highlight w:val="none"/>
        </w:rPr>
        <w:t>，</w:t>
      </w:r>
      <w:r>
        <w:rPr>
          <w:rFonts w:hint="default" w:ascii="Times New Roman" w:hAnsi="Times New Roman" w:eastAsia="宋体" w:cs="Times New Roman"/>
          <w:kern w:val="0"/>
          <w:sz w:val="28"/>
          <w:szCs w:val="28"/>
          <w:highlight w:val="none"/>
        </w:rPr>
        <w:t>，共</w:t>
      </w:r>
      <w:r>
        <w:rPr>
          <w:rFonts w:hint="eastAsia" w:cs="Times New Roman"/>
          <w:kern w:val="0"/>
          <w:sz w:val="28"/>
          <w:szCs w:val="28"/>
          <w:highlight w:val="none"/>
          <w:lang w:val="en-US" w:eastAsia="zh-CN"/>
        </w:rPr>
        <w:t>规划</w:t>
      </w:r>
      <w:r>
        <w:rPr>
          <w:rFonts w:hint="default" w:ascii="Times New Roman" w:hAnsi="Times New Roman" w:eastAsia="宋体" w:cs="Times New Roman"/>
          <w:sz w:val="28"/>
          <w:szCs w:val="28"/>
          <w:highlight w:val="none"/>
        </w:rPr>
        <w:t>10个井田、1个露天矿田</w:t>
      </w:r>
      <w:r>
        <w:rPr>
          <w:rFonts w:hint="eastAsia" w:cs="Times New Roman"/>
          <w:sz w:val="28"/>
          <w:szCs w:val="28"/>
          <w:highlight w:val="none"/>
          <w:lang w:val="en-US" w:eastAsia="zh-CN"/>
        </w:rPr>
        <w:t>和</w:t>
      </w:r>
      <w:r>
        <w:rPr>
          <w:rFonts w:hint="default" w:ascii="Times New Roman" w:hAnsi="Times New Roman" w:eastAsia="宋体" w:cs="Times New Roman"/>
          <w:sz w:val="28"/>
          <w:szCs w:val="28"/>
          <w:highlight w:val="none"/>
        </w:rPr>
        <w:t>1个勘查区，规划总规模205.0Mt/a</w:t>
      </w:r>
      <w:r>
        <w:rPr>
          <w:rFonts w:hint="default" w:ascii="Times New Roman" w:hAnsi="Times New Roman" w:eastAsia="宋体" w:cs="Times New Roman"/>
          <w:snapToGrid w:val="0"/>
          <w:kern w:val="0"/>
          <w:sz w:val="28"/>
          <w:szCs w:val="28"/>
          <w:highlight w:val="none"/>
        </w:rPr>
        <w:t>。</w:t>
      </w:r>
      <w:r>
        <w:rPr>
          <w:rFonts w:hint="default" w:ascii="Times New Roman" w:hAnsi="Times New Roman" w:eastAsia="宋体" w:cs="Times New Roman"/>
          <w:snapToGrid w:val="0"/>
          <w:kern w:val="0"/>
          <w:sz w:val="28"/>
          <w:szCs w:val="28"/>
          <w:highlight w:val="none"/>
          <w:lang w:val="en-US" w:eastAsia="zh-CN"/>
        </w:rPr>
        <w:t>分别为</w:t>
      </w: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</w:rPr>
        <w:t>帐南东一号井田</w:t>
      </w: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lang w:eastAsia="zh-CN"/>
        </w:rPr>
        <w:t>（</w:t>
      </w:r>
      <w:r>
        <w:rPr>
          <w:rFonts w:hint="default" w:ascii="Times New Roman" w:hAnsi="Times New Roman" w:eastAsia="宋体" w:cs="Times New Roman"/>
          <w:color w:val="000000"/>
          <w:sz w:val="28"/>
          <w:szCs w:val="28"/>
        </w:rPr>
        <w:t>20</w:t>
      </w:r>
      <w:r>
        <w:rPr>
          <w:rFonts w:hint="default" w:ascii="Times New Roman" w:hAnsi="Times New Roman" w:eastAsia="宋体" w:cs="Times New Roman"/>
          <w:color w:val="000000"/>
          <w:sz w:val="28"/>
          <w:szCs w:val="28"/>
          <w:lang w:val="en-US" w:eastAsia="zh-CN"/>
        </w:rPr>
        <w:t>Mt/a</w:t>
      </w: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lang w:eastAsia="zh-CN"/>
        </w:rPr>
        <w:t>）、</w:t>
      </w:r>
      <w:r>
        <w:rPr>
          <w:rFonts w:hint="default" w:ascii="Times New Roman" w:hAnsi="Times New Roman" w:eastAsia="宋体" w:cs="Times New Roman"/>
          <w:color w:val="000000"/>
          <w:sz w:val="28"/>
          <w:szCs w:val="28"/>
        </w:rPr>
        <w:t>帐南东二号井田</w:t>
      </w: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lang w:eastAsia="zh-CN"/>
        </w:rPr>
        <w:t>（</w:t>
      </w: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lang w:val="en-US" w:eastAsia="zh-CN"/>
        </w:rPr>
        <w:t>15</w:t>
      </w:r>
      <w:r>
        <w:rPr>
          <w:rFonts w:hint="default" w:ascii="Times New Roman" w:hAnsi="Times New Roman" w:eastAsia="宋体" w:cs="Times New Roman"/>
          <w:color w:val="000000"/>
          <w:sz w:val="28"/>
          <w:szCs w:val="28"/>
          <w:lang w:val="en-US" w:eastAsia="zh-CN"/>
        </w:rPr>
        <w:t>Mt/a</w:t>
      </w: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lang w:eastAsia="zh-CN"/>
        </w:rPr>
        <w:t>）、</w:t>
      </w:r>
      <w:r>
        <w:rPr>
          <w:rFonts w:hint="default" w:ascii="Times New Roman" w:hAnsi="Times New Roman" w:eastAsia="宋体" w:cs="Times New Roman"/>
          <w:color w:val="000000"/>
          <w:sz w:val="28"/>
          <w:szCs w:val="28"/>
        </w:rPr>
        <w:t>大井南一号井田</w:t>
      </w: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lang w:eastAsia="zh-CN"/>
        </w:rPr>
        <w:t>（</w:t>
      </w: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lang w:val="en-US" w:eastAsia="zh-CN"/>
        </w:rPr>
        <w:t>20</w:t>
      </w:r>
      <w:r>
        <w:rPr>
          <w:rFonts w:hint="default" w:ascii="Times New Roman" w:hAnsi="Times New Roman" w:eastAsia="宋体" w:cs="Times New Roman"/>
          <w:color w:val="000000"/>
          <w:sz w:val="28"/>
          <w:szCs w:val="28"/>
          <w:lang w:val="en-US" w:eastAsia="zh-CN"/>
        </w:rPr>
        <w:t>Mt/a</w:t>
      </w: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lang w:eastAsia="zh-CN"/>
        </w:rPr>
        <w:t>）、</w:t>
      </w:r>
      <w:r>
        <w:rPr>
          <w:rFonts w:hint="default" w:ascii="Times New Roman" w:hAnsi="Times New Roman" w:eastAsia="宋体" w:cs="Times New Roman"/>
          <w:color w:val="000000"/>
          <w:sz w:val="28"/>
          <w:szCs w:val="28"/>
        </w:rPr>
        <w:t>大井南二号井田</w:t>
      </w: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lang w:eastAsia="zh-CN"/>
        </w:rPr>
        <w:t>（</w:t>
      </w:r>
      <w:r>
        <w:rPr>
          <w:rFonts w:hint="eastAsia" w:cs="Times New Roman"/>
          <w:color w:val="000000"/>
          <w:kern w:val="0"/>
          <w:sz w:val="28"/>
          <w:szCs w:val="28"/>
          <w:lang w:val="en-US" w:eastAsia="zh-CN"/>
        </w:rPr>
        <w:t>20</w:t>
      </w:r>
      <w:r>
        <w:rPr>
          <w:rFonts w:hint="default" w:ascii="Times New Roman" w:hAnsi="Times New Roman" w:eastAsia="宋体" w:cs="Times New Roman"/>
          <w:color w:val="000000"/>
          <w:sz w:val="28"/>
          <w:szCs w:val="28"/>
          <w:lang w:val="en-US" w:eastAsia="zh-CN"/>
        </w:rPr>
        <w:t>Mt/a</w:t>
      </w: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lang w:eastAsia="zh-CN"/>
        </w:rPr>
        <w:t>）、</w:t>
      </w:r>
      <w:r>
        <w:rPr>
          <w:rFonts w:hint="default" w:ascii="Times New Roman" w:hAnsi="Times New Roman" w:eastAsia="宋体" w:cs="Times New Roman"/>
          <w:color w:val="000000"/>
          <w:sz w:val="28"/>
          <w:szCs w:val="28"/>
        </w:rPr>
        <w:t>大井东南</w:t>
      </w: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</w:rPr>
        <w:t>井田</w:t>
      </w: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lang w:eastAsia="zh-CN"/>
        </w:rPr>
        <w:t>（</w:t>
      </w: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lang w:val="en-US" w:eastAsia="zh-CN"/>
        </w:rPr>
        <w:t>15</w:t>
      </w:r>
      <w:r>
        <w:rPr>
          <w:rFonts w:hint="default" w:ascii="Times New Roman" w:hAnsi="Times New Roman" w:eastAsia="宋体" w:cs="Times New Roman"/>
          <w:color w:val="000000"/>
          <w:sz w:val="28"/>
          <w:szCs w:val="28"/>
          <w:lang w:val="en-US" w:eastAsia="zh-CN"/>
        </w:rPr>
        <w:t>Mt/a</w:t>
      </w: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lang w:eastAsia="zh-CN"/>
        </w:rPr>
        <w:t>）、</w:t>
      </w:r>
      <w:r>
        <w:rPr>
          <w:rFonts w:hint="default" w:ascii="Times New Roman" w:hAnsi="Times New Roman" w:eastAsia="宋体" w:cs="Times New Roman"/>
          <w:color w:val="000000"/>
          <w:sz w:val="28"/>
          <w:szCs w:val="28"/>
        </w:rPr>
        <w:t>将军庙露天矿</w:t>
      </w: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lang w:eastAsia="zh-CN"/>
        </w:rPr>
        <w:t>（</w:t>
      </w: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lang w:val="en-US" w:eastAsia="zh-CN"/>
        </w:rPr>
        <w:t>30</w:t>
      </w:r>
      <w:r>
        <w:rPr>
          <w:rFonts w:hint="default" w:ascii="Times New Roman" w:hAnsi="Times New Roman" w:eastAsia="宋体" w:cs="Times New Roman"/>
          <w:color w:val="000000"/>
          <w:sz w:val="28"/>
          <w:szCs w:val="28"/>
          <w:lang w:val="en-US" w:eastAsia="zh-CN"/>
        </w:rPr>
        <w:t>Mt/a</w:t>
      </w: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lang w:eastAsia="zh-CN"/>
        </w:rPr>
        <w:t>）、</w:t>
      </w:r>
      <w:r>
        <w:rPr>
          <w:rFonts w:hint="default" w:ascii="Times New Roman" w:hAnsi="Times New Roman" w:eastAsia="宋体" w:cs="Times New Roman"/>
          <w:color w:val="000000"/>
          <w:sz w:val="28"/>
          <w:szCs w:val="28"/>
        </w:rPr>
        <w:t>黄草湖一号井田</w:t>
      </w: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lang w:eastAsia="zh-CN"/>
        </w:rPr>
        <w:t>（</w:t>
      </w: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lang w:val="en-US" w:eastAsia="zh-CN"/>
        </w:rPr>
        <w:t>20</w:t>
      </w:r>
      <w:r>
        <w:rPr>
          <w:rFonts w:hint="default" w:ascii="Times New Roman" w:hAnsi="Times New Roman" w:eastAsia="宋体" w:cs="Times New Roman"/>
          <w:color w:val="000000"/>
          <w:sz w:val="28"/>
          <w:szCs w:val="28"/>
          <w:lang w:val="en-US" w:eastAsia="zh-CN"/>
        </w:rPr>
        <w:t>Mt/a</w:t>
      </w: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lang w:eastAsia="zh-CN"/>
        </w:rPr>
        <w:t>）、</w:t>
      </w:r>
      <w:r>
        <w:rPr>
          <w:rFonts w:hint="default" w:ascii="Times New Roman" w:hAnsi="Times New Roman" w:eastAsia="宋体" w:cs="Times New Roman"/>
          <w:sz w:val="28"/>
          <w:szCs w:val="28"/>
        </w:rPr>
        <w:t>黄草湖二号井田</w:t>
      </w: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lang w:eastAsia="zh-CN"/>
        </w:rPr>
        <w:t>（</w:t>
      </w: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lang w:val="en-US" w:eastAsia="zh-CN"/>
        </w:rPr>
        <w:t>15</w:t>
      </w:r>
      <w:r>
        <w:rPr>
          <w:rFonts w:hint="default" w:ascii="Times New Roman" w:hAnsi="Times New Roman" w:eastAsia="宋体" w:cs="Times New Roman"/>
          <w:color w:val="000000"/>
          <w:sz w:val="28"/>
          <w:szCs w:val="28"/>
          <w:lang w:val="en-US" w:eastAsia="zh-CN"/>
        </w:rPr>
        <w:t>Mt/a</w:t>
      </w: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lang w:eastAsia="zh-CN"/>
        </w:rPr>
        <w:t>）、</w:t>
      </w:r>
      <w:r>
        <w:rPr>
          <w:rFonts w:hint="default" w:ascii="Times New Roman" w:hAnsi="Times New Roman" w:eastAsia="宋体" w:cs="Times New Roman"/>
          <w:sz w:val="28"/>
          <w:szCs w:val="28"/>
        </w:rPr>
        <w:t>南黄草湖井田</w:t>
      </w: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lang w:eastAsia="zh-CN"/>
        </w:rPr>
        <w:t>（</w:t>
      </w: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lang w:val="en-US" w:eastAsia="zh-CN"/>
        </w:rPr>
        <w:t>15</w:t>
      </w:r>
      <w:r>
        <w:rPr>
          <w:rFonts w:hint="default" w:ascii="Times New Roman" w:hAnsi="Times New Roman" w:eastAsia="宋体" w:cs="Times New Roman"/>
          <w:color w:val="000000"/>
          <w:sz w:val="28"/>
          <w:szCs w:val="28"/>
          <w:lang w:val="en-US" w:eastAsia="zh-CN"/>
        </w:rPr>
        <w:t>Mt/a</w:t>
      </w: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lang w:eastAsia="zh-CN"/>
        </w:rPr>
        <w:t>）、</w:t>
      </w:r>
      <w:r>
        <w:rPr>
          <w:rFonts w:hint="default" w:ascii="Times New Roman" w:hAnsi="Times New Roman" w:eastAsia="宋体" w:cs="Times New Roman"/>
          <w:sz w:val="28"/>
          <w:szCs w:val="28"/>
        </w:rPr>
        <w:t>葫芦峪井田</w:t>
      </w: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lang w:eastAsia="zh-CN"/>
        </w:rPr>
        <w:t>（</w:t>
      </w: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lang w:val="en-US" w:eastAsia="zh-CN"/>
        </w:rPr>
        <w:t>15</w:t>
      </w:r>
      <w:r>
        <w:rPr>
          <w:rFonts w:hint="default" w:ascii="Times New Roman" w:hAnsi="Times New Roman" w:eastAsia="宋体" w:cs="Times New Roman"/>
          <w:color w:val="000000"/>
          <w:sz w:val="28"/>
          <w:szCs w:val="28"/>
          <w:lang w:val="en-US" w:eastAsia="zh-CN"/>
        </w:rPr>
        <w:t>Mt/a</w:t>
      </w: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lang w:eastAsia="zh-CN"/>
        </w:rPr>
        <w:t>）、</w:t>
      </w:r>
      <w:r>
        <w:rPr>
          <w:rFonts w:hint="default" w:ascii="Times New Roman" w:hAnsi="Times New Roman" w:eastAsia="宋体" w:cs="Times New Roman"/>
          <w:color w:val="000000"/>
          <w:sz w:val="28"/>
          <w:szCs w:val="28"/>
        </w:rPr>
        <w:t>大沙丘井田</w:t>
      </w: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lang w:eastAsia="zh-CN"/>
        </w:rPr>
        <w:t>（</w:t>
      </w: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lang w:val="en-US" w:eastAsia="zh-CN"/>
        </w:rPr>
        <w:t>20</w:t>
      </w:r>
      <w:r>
        <w:rPr>
          <w:rFonts w:hint="default" w:ascii="Times New Roman" w:hAnsi="Times New Roman" w:eastAsia="宋体" w:cs="Times New Roman"/>
          <w:color w:val="000000"/>
          <w:sz w:val="28"/>
          <w:szCs w:val="28"/>
          <w:lang w:val="en-US" w:eastAsia="zh-CN"/>
        </w:rPr>
        <w:t>Mt/a</w:t>
      </w: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lang w:eastAsia="zh-CN"/>
        </w:rPr>
        <w:t>）</w:t>
      </w:r>
      <w:r>
        <w:rPr>
          <w:rFonts w:hint="eastAsia" w:cs="Times New Roman"/>
          <w:color w:val="000000"/>
          <w:kern w:val="0"/>
          <w:sz w:val="28"/>
          <w:szCs w:val="28"/>
          <w:lang w:val="en-US" w:eastAsia="zh-CN"/>
        </w:rPr>
        <w:t>和</w:t>
      </w:r>
      <w:r>
        <w:rPr>
          <w:rFonts w:hint="default" w:ascii="Times New Roman" w:hAnsi="Times New Roman" w:eastAsia="宋体" w:cs="Times New Roman"/>
          <w:color w:val="000000"/>
          <w:sz w:val="28"/>
          <w:szCs w:val="28"/>
        </w:rPr>
        <w:t>南大井勘查区</w:t>
      </w:r>
      <w:r>
        <w:rPr>
          <w:rFonts w:hint="default" w:ascii="Times New Roman" w:hAnsi="Times New Roman" w:eastAsia="宋体" w:cs="Times New Roman"/>
          <w:color w:val="000000"/>
          <w:sz w:val="28"/>
          <w:szCs w:val="28"/>
          <w:lang w:eastAsia="zh-CN"/>
        </w:rPr>
        <w:t>。</w:t>
      </w:r>
    </w:p>
    <w:p w14:paraId="31DCBF3F">
      <w:pPr>
        <w:shd w:val="clear" w:color="auto" w:fill="FFFFFF"/>
        <w:adjustRightInd w:val="0"/>
        <w:snapToGrid w:val="0"/>
        <w:ind w:firstLine="480" w:firstLineChars="0"/>
        <w:rPr>
          <w:rFonts w:cs="Times New Roman"/>
          <w:color w:val="000000"/>
          <w:kern w:val="0"/>
          <w:sz w:val="28"/>
          <w:szCs w:val="28"/>
        </w:rPr>
      </w:pPr>
      <w:r>
        <w:rPr>
          <w:rFonts w:cs="Times New Roman"/>
          <w:b/>
          <w:bCs/>
          <w:color w:val="000000"/>
          <w:kern w:val="0"/>
          <w:sz w:val="28"/>
          <w:szCs w:val="28"/>
        </w:rPr>
        <w:t>二、规划环境影响评价工作技术路线和评价重点</w:t>
      </w:r>
    </w:p>
    <w:p w14:paraId="7CA195AC">
      <w:pPr>
        <w:shd w:val="clear" w:color="auto" w:fill="FFFFFF"/>
        <w:adjustRightInd w:val="0"/>
        <w:snapToGrid w:val="0"/>
        <w:ind w:firstLine="560"/>
        <w:rPr>
          <w:rFonts w:cs="Times New Roman"/>
          <w:kern w:val="0"/>
          <w:sz w:val="28"/>
          <w:szCs w:val="28"/>
        </w:rPr>
      </w:pPr>
      <w:r>
        <w:rPr>
          <w:rFonts w:cs="Times New Roman"/>
          <w:kern w:val="0"/>
          <w:sz w:val="28"/>
          <w:szCs w:val="28"/>
        </w:rPr>
        <w:t>（一）评价工作技术路线</w:t>
      </w:r>
    </w:p>
    <w:p w14:paraId="5DF7D3C1">
      <w:pPr>
        <w:shd w:val="clear" w:color="auto" w:fill="FFFFFF"/>
        <w:adjustRightInd w:val="0"/>
        <w:snapToGrid w:val="0"/>
        <w:ind w:firstLine="560"/>
        <w:rPr>
          <w:rFonts w:cs="Times New Roman"/>
          <w:kern w:val="0"/>
          <w:sz w:val="28"/>
          <w:szCs w:val="28"/>
        </w:rPr>
      </w:pPr>
      <w:r>
        <w:rPr>
          <w:rFonts w:cs="Times New Roman"/>
          <w:kern w:val="0"/>
          <w:sz w:val="28"/>
          <w:szCs w:val="28"/>
        </w:rPr>
        <w:t>本次评价工作技术路线见下图：</w:t>
      </w:r>
    </w:p>
    <w:p w14:paraId="1F2CFC8C">
      <w:pPr>
        <w:shd w:val="clear" w:color="auto" w:fill="FFFFFF"/>
        <w:adjustRightInd w:val="0"/>
        <w:snapToGrid w:val="0"/>
        <w:ind w:firstLine="0" w:firstLineChars="0"/>
        <w:jc w:val="center"/>
        <w:rPr>
          <w:rFonts w:cs="Times New Roman"/>
          <w:color w:val="000000"/>
          <w:kern w:val="0"/>
          <w:sz w:val="21"/>
          <w:szCs w:val="21"/>
        </w:rPr>
        <w:sectPr>
          <w:headerReference r:id="rId7" w:type="first"/>
          <w:footerReference r:id="rId10" w:type="first"/>
          <w:headerReference r:id="rId5" w:type="default"/>
          <w:footerReference r:id="rId8" w:type="default"/>
          <w:headerReference r:id="rId6" w:type="even"/>
          <w:footerReference r:id="rId9" w:type="even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color w:val="FF0000"/>
        </w:rPr>
        <w:drawing>
          <wp:inline distT="0" distB="0" distL="0" distR="0">
            <wp:extent cx="5248275" cy="7648575"/>
            <wp:effectExtent l="0" t="0" r="15240" b="1524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12" cstate="screen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48275" cy="76485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AF3F04">
      <w:pPr>
        <w:shd w:val="clear" w:color="auto" w:fill="FFFFFF"/>
        <w:adjustRightInd w:val="0"/>
        <w:snapToGrid w:val="0"/>
        <w:ind w:firstLine="560"/>
        <w:rPr>
          <w:rFonts w:cs="Times New Roman"/>
          <w:kern w:val="0"/>
          <w:sz w:val="28"/>
          <w:szCs w:val="28"/>
        </w:rPr>
      </w:pPr>
      <w:r>
        <w:rPr>
          <w:rFonts w:cs="Times New Roman"/>
          <w:kern w:val="0"/>
          <w:sz w:val="28"/>
          <w:szCs w:val="28"/>
        </w:rPr>
        <w:t>（二）评价重点</w:t>
      </w:r>
    </w:p>
    <w:p w14:paraId="041CCD70">
      <w:pPr>
        <w:shd w:val="clear" w:color="auto" w:fill="FFFFFF"/>
        <w:adjustRightInd w:val="0"/>
        <w:snapToGrid w:val="0"/>
        <w:ind w:firstLine="560"/>
        <w:rPr>
          <w:rFonts w:cs="Times New Roman"/>
          <w:kern w:val="0"/>
          <w:sz w:val="28"/>
          <w:szCs w:val="28"/>
        </w:rPr>
      </w:pPr>
      <w:r>
        <w:rPr>
          <w:rFonts w:cs="Times New Roman"/>
          <w:kern w:val="0"/>
          <w:sz w:val="28"/>
          <w:szCs w:val="28"/>
        </w:rPr>
        <w:t>（</w:t>
      </w:r>
      <w:r>
        <w:rPr>
          <w:rFonts w:hint="eastAsia" w:cs="Times New Roman"/>
          <w:kern w:val="0"/>
          <w:sz w:val="28"/>
          <w:szCs w:val="28"/>
          <w:lang w:val="en-US" w:eastAsia="zh-CN"/>
        </w:rPr>
        <w:t>1</w:t>
      </w:r>
      <w:r>
        <w:rPr>
          <w:rFonts w:cs="Times New Roman"/>
          <w:kern w:val="0"/>
          <w:sz w:val="28"/>
          <w:szCs w:val="28"/>
        </w:rPr>
        <w:t>）</w:t>
      </w:r>
      <w:r>
        <w:rPr>
          <w:rFonts w:hint="eastAsia" w:cs="Times New Roman"/>
          <w:kern w:val="0"/>
          <w:sz w:val="28"/>
          <w:szCs w:val="28"/>
        </w:rPr>
        <w:t>矿区</w:t>
      </w:r>
      <w:r>
        <w:rPr>
          <w:rFonts w:cs="Times New Roman"/>
          <w:kern w:val="0"/>
          <w:sz w:val="28"/>
          <w:szCs w:val="28"/>
        </w:rPr>
        <w:t>开发强度分析和协调性分析；</w:t>
      </w:r>
    </w:p>
    <w:p w14:paraId="60020532">
      <w:pPr>
        <w:shd w:val="clear" w:color="auto" w:fill="FFFFFF"/>
        <w:adjustRightInd w:val="0"/>
        <w:snapToGrid w:val="0"/>
        <w:ind w:firstLine="560"/>
        <w:rPr>
          <w:rFonts w:cs="Times New Roman"/>
          <w:kern w:val="0"/>
          <w:sz w:val="28"/>
          <w:szCs w:val="28"/>
        </w:rPr>
      </w:pPr>
      <w:r>
        <w:rPr>
          <w:rFonts w:cs="Times New Roman"/>
          <w:kern w:val="0"/>
          <w:sz w:val="28"/>
          <w:szCs w:val="28"/>
        </w:rPr>
        <w:t>（</w:t>
      </w:r>
      <w:r>
        <w:rPr>
          <w:rFonts w:hint="eastAsia" w:cs="Times New Roman"/>
          <w:kern w:val="0"/>
          <w:sz w:val="28"/>
          <w:szCs w:val="28"/>
          <w:lang w:val="en-US" w:eastAsia="zh-CN"/>
        </w:rPr>
        <w:t>2</w:t>
      </w:r>
      <w:r>
        <w:rPr>
          <w:rFonts w:cs="Times New Roman"/>
          <w:kern w:val="0"/>
          <w:sz w:val="28"/>
          <w:szCs w:val="28"/>
        </w:rPr>
        <w:t>）</w:t>
      </w:r>
      <w:r>
        <w:rPr>
          <w:rFonts w:hint="eastAsia" w:cs="Times New Roman"/>
          <w:kern w:val="0"/>
          <w:sz w:val="28"/>
          <w:szCs w:val="28"/>
        </w:rPr>
        <w:t>矿区制约因素识别与</w:t>
      </w:r>
      <w:r>
        <w:rPr>
          <w:rFonts w:cs="Times New Roman"/>
          <w:kern w:val="0"/>
          <w:sz w:val="28"/>
          <w:szCs w:val="28"/>
        </w:rPr>
        <w:t>资源环境承载力分析；</w:t>
      </w:r>
    </w:p>
    <w:p w14:paraId="488E4241">
      <w:pPr>
        <w:shd w:val="clear" w:color="auto" w:fill="FFFFFF"/>
        <w:adjustRightInd w:val="0"/>
        <w:snapToGrid w:val="0"/>
        <w:ind w:firstLine="560"/>
        <w:rPr>
          <w:rFonts w:cs="Times New Roman"/>
          <w:kern w:val="0"/>
          <w:sz w:val="28"/>
          <w:szCs w:val="28"/>
        </w:rPr>
      </w:pPr>
      <w:r>
        <w:rPr>
          <w:rFonts w:cs="Times New Roman"/>
          <w:kern w:val="0"/>
          <w:sz w:val="28"/>
          <w:szCs w:val="28"/>
        </w:rPr>
        <w:t>（</w:t>
      </w:r>
      <w:r>
        <w:rPr>
          <w:rFonts w:hint="eastAsia" w:cs="Times New Roman"/>
          <w:kern w:val="0"/>
          <w:sz w:val="28"/>
          <w:szCs w:val="28"/>
          <w:lang w:val="en-US" w:eastAsia="zh-CN"/>
        </w:rPr>
        <w:t>3</w:t>
      </w:r>
      <w:r>
        <w:rPr>
          <w:rFonts w:cs="Times New Roman"/>
          <w:kern w:val="0"/>
          <w:sz w:val="28"/>
          <w:szCs w:val="28"/>
        </w:rPr>
        <w:t>）环境影响预测与评价；</w:t>
      </w:r>
    </w:p>
    <w:p w14:paraId="14909175">
      <w:pPr>
        <w:shd w:val="clear" w:color="auto" w:fill="FFFFFF"/>
        <w:adjustRightInd w:val="0"/>
        <w:snapToGrid w:val="0"/>
        <w:ind w:firstLine="560"/>
        <w:rPr>
          <w:rFonts w:cs="Times New Roman"/>
          <w:kern w:val="0"/>
          <w:sz w:val="28"/>
          <w:szCs w:val="28"/>
        </w:rPr>
      </w:pPr>
      <w:r>
        <w:rPr>
          <w:rFonts w:cs="Times New Roman"/>
          <w:kern w:val="0"/>
          <w:sz w:val="28"/>
          <w:szCs w:val="28"/>
        </w:rPr>
        <w:t>（</w:t>
      </w:r>
      <w:r>
        <w:rPr>
          <w:rFonts w:hint="eastAsia" w:cs="Times New Roman"/>
          <w:kern w:val="0"/>
          <w:sz w:val="28"/>
          <w:szCs w:val="28"/>
          <w:lang w:val="en-US" w:eastAsia="zh-CN"/>
        </w:rPr>
        <w:t>4</w:t>
      </w:r>
      <w:r>
        <w:rPr>
          <w:rFonts w:cs="Times New Roman"/>
          <w:kern w:val="0"/>
          <w:sz w:val="28"/>
          <w:szCs w:val="28"/>
        </w:rPr>
        <w:t>）规划方案环境合理性论证及评价指标可达性分析；</w:t>
      </w:r>
    </w:p>
    <w:p w14:paraId="0928E0D1">
      <w:pPr>
        <w:shd w:val="clear" w:color="auto" w:fill="FFFFFF"/>
        <w:adjustRightInd w:val="0"/>
        <w:snapToGrid w:val="0"/>
        <w:ind w:firstLine="560"/>
        <w:rPr>
          <w:rFonts w:cs="Times New Roman"/>
          <w:kern w:val="0"/>
          <w:sz w:val="28"/>
          <w:szCs w:val="28"/>
        </w:rPr>
      </w:pPr>
      <w:r>
        <w:rPr>
          <w:rFonts w:cs="Times New Roman"/>
          <w:kern w:val="0"/>
          <w:sz w:val="28"/>
          <w:szCs w:val="28"/>
        </w:rPr>
        <w:t>（</w:t>
      </w:r>
      <w:r>
        <w:rPr>
          <w:rFonts w:hint="eastAsia" w:cs="Times New Roman"/>
          <w:kern w:val="0"/>
          <w:sz w:val="28"/>
          <w:szCs w:val="28"/>
          <w:lang w:val="en-US" w:eastAsia="zh-CN"/>
        </w:rPr>
        <w:t>5</w:t>
      </w:r>
      <w:r>
        <w:rPr>
          <w:rFonts w:cs="Times New Roman"/>
          <w:kern w:val="0"/>
          <w:sz w:val="28"/>
          <w:szCs w:val="28"/>
        </w:rPr>
        <w:t>）规划优化调整建议及对策措施。</w:t>
      </w:r>
    </w:p>
    <w:p w14:paraId="004564F5">
      <w:pPr>
        <w:shd w:val="clear" w:color="auto" w:fill="FFFFFF"/>
        <w:adjustRightInd w:val="0"/>
        <w:snapToGrid w:val="0"/>
        <w:ind w:firstLine="480" w:firstLineChars="0"/>
        <w:jc w:val="left"/>
        <w:rPr>
          <w:rFonts w:cs="Times New Roman"/>
          <w:color w:val="000000"/>
          <w:kern w:val="0"/>
          <w:sz w:val="28"/>
          <w:szCs w:val="28"/>
        </w:rPr>
      </w:pPr>
      <w:bookmarkStart w:id="0" w:name="_Hlk110246596"/>
      <w:r>
        <w:rPr>
          <w:rFonts w:cs="Times New Roman"/>
          <w:b/>
          <w:bCs/>
          <w:color w:val="000000"/>
          <w:kern w:val="0"/>
          <w:sz w:val="28"/>
          <w:szCs w:val="28"/>
        </w:rPr>
        <w:t>三、规划编制</w:t>
      </w:r>
      <w:r>
        <w:rPr>
          <w:rFonts w:hint="eastAsia" w:cs="Times New Roman"/>
          <w:b/>
          <w:bCs/>
          <w:color w:val="000000"/>
          <w:kern w:val="0"/>
          <w:sz w:val="28"/>
          <w:szCs w:val="28"/>
        </w:rPr>
        <w:t>单位</w:t>
      </w:r>
      <w:r>
        <w:rPr>
          <w:rFonts w:cs="Times New Roman"/>
          <w:b/>
          <w:bCs/>
          <w:color w:val="000000"/>
          <w:kern w:val="0"/>
          <w:sz w:val="28"/>
          <w:szCs w:val="28"/>
        </w:rPr>
        <w:t>及联系方式</w:t>
      </w:r>
    </w:p>
    <w:p w14:paraId="013EB2DF">
      <w:pPr>
        <w:shd w:val="clear" w:color="auto" w:fill="FFFFFF"/>
        <w:adjustRightInd w:val="0"/>
        <w:snapToGrid w:val="0"/>
        <w:ind w:firstLine="480" w:firstLineChars="0"/>
        <w:jc w:val="left"/>
        <w:rPr>
          <w:rFonts w:cs="Times New Roman"/>
          <w:color w:val="000000"/>
          <w:kern w:val="0"/>
          <w:sz w:val="28"/>
          <w:szCs w:val="28"/>
        </w:rPr>
      </w:pPr>
      <w:r>
        <w:rPr>
          <w:rFonts w:hint="eastAsia" w:cs="Times New Roman"/>
          <w:color w:val="000000"/>
          <w:kern w:val="0"/>
          <w:sz w:val="28"/>
          <w:szCs w:val="28"/>
        </w:rPr>
        <w:t>单位名称</w:t>
      </w:r>
      <w:r>
        <w:rPr>
          <w:rFonts w:cs="Times New Roman"/>
          <w:color w:val="000000"/>
          <w:kern w:val="0"/>
          <w:sz w:val="28"/>
          <w:szCs w:val="28"/>
        </w:rPr>
        <w:t>：新疆煤炭设计研究院有限责任公司</w:t>
      </w:r>
    </w:p>
    <w:p w14:paraId="5D60BA67">
      <w:pPr>
        <w:shd w:val="clear" w:color="auto" w:fill="FFFFFF"/>
        <w:adjustRightInd w:val="0"/>
        <w:snapToGrid w:val="0"/>
        <w:ind w:firstLine="480" w:firstLineChars="0"/>
        <w:jc w:val="left"/>
        <w:rPr>
          <w:rFonts w:cs="Times New Roman"/>
          <w:color w:val="000000"/>
          <w:kern w:val="0"/>
          <w:sz w:val="28"/>
          <w:szCs w:val="28"/>
        </w:rPr>
      </w:pPr>
      <w:r>
        <w:rPr>
          <w:rFonts w:cs="Times New Roman"/>
          <w:color w:val="000000"/>
          <w:kern w:val="0"/>
          <w:sz w:val="28"/>
          <w:szCs w:val="28"/>
        </w:rPr>
        <w:t>通讯地址：新疆乌鲁木齐市沙依巴克区南昌路177号</w:t>
      </w:r>
    </w:p>
    <w:p w14:paraId="62DBDBC4">
      <w:pPr>
        <w:shd w:val="clear" w:color="auto" w:fill="FFFFFF"/>
        <w:adjustRightInd w:val="0"/>
        <w:snapToGrid w:val="0"/>
        <w:ind w:firstLine="480" w:firstLineChars="0"/>
        <w:jc w:val="left"/>
        <w:rPr>
          <w:rFonts w:cs="Times New Roman"/>
          <w:color w:val="000000" w:themeColor="text1"/>
          <w:kern w:val="0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cs="Times New Roman"/>
          <w:color w:val="000000" w:themeColor="text1"/>
          <w:kern w:val="0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邮政编码：830091</w:t>
      </w:r>
    </w:p>
    <w:p w14:paraId="278AE544">
      <w:pPr>
        <w:shd w:val="clear" w:color="auto" w:fill="FFFFFF"/>
        <w:adjustRightInd w:val="0"/>
        <w:snapToGrid w:val="0"/>
        <w:ind w:firstLine="480" w:firstLineChars="0"/>
        <w:jc w:val="left"/>
        <w:rPr>
          <w:rFonts w:hint="default" w:eastAsia="宋体" w:cs="Times New Roman"/>
          <w:color w:val="000000" w:themeColor="text1"/>
          <w:kern w:val="0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cs="Times New Roman"/>
          <w:color w:val="000000" w:themeColor="text1"/>
          <w:kern w:val="0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联系人：</w:t>
      </w:r>
      <w:r>
        <w:rPr>
          <w:rFonts w:hint="eastAsia" w:cs="Times New Roman"/>
          <w:color w:val="000000" w:themeColor="text1"/>
          <w:kern w:val="0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王亮</w:t>
      </w:r>
    </w:p>
    <w:p w14:paraId="424173F7">
      <w:pPr>
        <w:shd w:val="clear" w:color="auto" w:fill="FFFFFF"/>
        <w:adjustRightInd w:val="0"/>
        <w:snapToGrid w:val="0"/>
        <w:ind w:firstLine="480" w:firstLineChars="0"/>
        <w:jc w:val="left"/>
        <w:rPr>
          <w:rFonts w:hint="eastAsia" w:cs="Times New Roman"/>
          <w:color w:val="000000" w:themeColor="text1"/>
          <w:kern w:val="0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cs="Times New Roman"/>
          <w:color w:val="000000" w:themeColor="text1"/>
          <w:kern w:val="0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联系电话：</w:t>
      </w:r>
      <w:r>
        <w:rPr>
          <w:rFonts w:hint="eastAsia" w:cs="Times New Roman"/>
          <w:color w:val="000000" w:themeColor="text1"/>
          <w:kern w:val="0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0991</w:t>
      </w:r>
      <w:r>
        <w:rPr>
          <w:rFonts w:hint="eastAsia" w:cs="Times New Roman"/>
          <w:color w:val="000000" w:themeColor="text1"/>
          <w:kern w:val="0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cs="Times New Roman"/>
          <w:color w:val="000000" w:themeColor="text1"/>
          <w:kern w:val="0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4530257</w:t>
      </w:r>
    </w:p>
    <w:p w14:paraId="4DF60DDE">
      <w:pPr>
        <w:shd w:val="clear" w:color="auto" w:fill="FFFFFF"/>
        <w:adjustRightInd w:val="0"/>
        <w:snapToGrid w:val="0"/>
        <w:ind w:firstLine="480" w:firstLineChars="0"/>
        <w:jc w:val="left"/>
        <w:rPr>
          <w:rFonts w:cs="Times New Roman"/>
          <w:color w:val="000000" w:themeColor="text1"/>
          <w:kern w:val="0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cs="Times New Roman"/>
          <w:color w:val="000000" w:themeColor="text1"/>
          <w:kern w:val="0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电子邮箱：</w:t>
      </w:r>
      <w:r>
        <w:rPr>
          <w:rFonts w:hint="eastAsia" w:cs="Times New Roman"/>
          <w:color w:val="000000" w:themeColor="text1"/>
          <w:kern w:val="0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437784858</w:t>
      </w:r>
      <w:r>
        <w:rPr>
          <w:rFonts w:cs="Times New Roman"/>
          <w:color w:val="000000" w:themeColor="text1"/>
          <w:kern w:val="0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@qq.com</w:t>
      </w:r>
    </w:p>
    <w:bookmarkEnd w:id="0"/>
    <w:p w14:paraId="737EEAE4">
      <w:pPr>
        <w:shd w:val="clear" w:color="auto" w:fill="FFFFFF"/>
        <w:adjustRightInd w:val="0"/>
        <w:snapToGrid w:val="0"/>
        <w:ind w:firstLine="562"/>
        <w:rPr>
          <w:rFonts w:cs="Times New Roman"/>
          <w:b/>
          <w:bCs/>
          <w:kern w:val="0"/>
          <w:sz w:val="28"/>
          <w:szCs w:val="28"/>
        </w:rPr>
      </w:pPr>
      <w:r>
        <w:rPr>
          <w:rFonts w:cs="Times New Roman"/>
          <w:b/>
          <w:bCs/>
          <w:kern w:val="0"/>
          <w:sz w:val="28"/>
          <w:szCs w:val="28"/>
        </w:rPr>
        <w:t>四、环境影响评价单位及联系方式</w:t>
      </w:r>
    </w:p>
    <w:p w14:paraId="67062696">
      <w:pPr>
        <w:shd w:val="clear" w:color="auto" w:fill="FFFFFF"/>
        <w:adjustRightInd w:val="0"/>
        <w:snapToGrid w:val="0"/>
        <w:ind w:firstLine="560"/>
        <w:rPr>
          <w:rFonts w:cs="Times New Roman"/>
          <w:kern w:val="0"/>
          <w:sz w:val="28"/>
          <w:szCs w:val="28"/>
        </w:rPr>
      </w:pPr>
      <w:r>
        <w:rPr>
          <w:rFonts w:cs="Times New Roman"/>
          <w:kern w:val="0"/>
          <w:sz w:val="28"/>
          <w:szCs w:val="28"/>
        </w:rPr>
        <w:t>单位名称：生态环境部环境发展中心（中日友好环境保护中心）</w:t>
      </w:r>
    </w:p>
    <w:p w14:paraId="720328C6">
      <w:pPr>
        <w:shd w:val="clear" w:color="auto" w:fill="FFFFFF"/>
        <w:adjustRightInd w:val="0"/>
        <w:snapToGrid w:val="0"/>
        <w:ind w:firstLine="560"/>
        <w:rPr>
          <w:rFonts w:hint="eastAsia" w:eastAsia="宋体" w:cs="Times New Roman"/>
          <w:kern w:val="0"/>
          <w:sz w:val="28"/>
          <w:szCs w:val="28"/>
          <w:lang w:val="en-US" w:eastAsia="zh-CN"/>
        </w:rPr>
      </w:pPr>
      <w:r>
        <w:rPr>
          <w:rFonts w:cs="Times New Roman"/>
          <w:kern w:val="0"/>
          <w:sz w:val="28"/>
          <w:szCs w:val="28"/>
        </w:rPr>
        <w:t>通讯地址：北京朝阳区育慧南路1号A栋7</w:t>
      </w:r>
      <w:r>
        <w:rPr>
          <w:rFonts w:hint="eastAsia" w:cs="Times New Roman"/>
          <w:kern w:val="0"/>
          <w:sz w:val="28"/>
          <w:szCs w:val="28"/>
          <w:lang w:val="en-US" w:eastAsia="zh-CN"/>
        </w:rPr>
        <w:t>层</w:t>
      </w:r>
    </w:p>
    <w:p w14:paraId="7E401D6D">
      <w:pPr>
        <w:shd w:val="clear" w:color="auto" w:fill="FFFFFF"/>
        <w:adjustRightInd w:val="0"/>
        <w:snapToGrid w:val="0"/>
        <w:ind w:firstLine="560"/>
        <w:rPr>
          <w:rFonts w:cs="Times New Roman"/>
          <w:kern w:val="0"/>
          <w:sz w:val="28"/>
          <w:szCs w:val="28"/>
        </w:rPr>
      </w:pPr>
      <w:r>
        <w:rPr>
          <w:rFonts w:cs="Times New Roman"/>
          <w:kern w:val="0"/>
          <w:sz w:val="28"/>
          <w:szCs w:val="28"/>
        </w:rPr>
        <w:t>邮政编号：100029</w:t>
      </w:r>
    </w:p>
    <w:p w14:paraId="7CB5D535">
      <w:pPr>
        <w:shd w:val="clear" w:color="auto" w:fill="FFFFFF"/>
        <w:adjustRightInd w:val="0"/>
        <w:snapToGrid w:val="0"/>
        <w:ind w:firstLine="560"/>
        <w:rPr>
          <w:rFonts w:hint="default" w:eastAsia="宋体" w:cs="Times New Roman"/>
          <w:kern w:val="0"/>
          <w:sz w:val="28"/>
          <w:szCs w:val="28"/>
          <w:lang w:val="en-US" w:eastAsia="zh-CN"/>
        </w:rPr>
      </w:pPr>
      <w:r>
        <w:rPr>
          <w:rFonts w:cs="Times New Roman"/>
          <w:kern w:val="0"/>
          <w:sz w:val="28"/>
          <w:szCs w:val="28"/>
        </w:rPr>
        <w:t>联系人：</w:t>
      </w:r>
      <w:r>
        <w:rPr>
          <w:rFonts w:hint="eastAsia" w:cs="Times New Roman"/>
          <w:kern w:val="0"/>
          <w:sz w:val="28"/>
          <w:szCs w:val="28"/>
          <w:lang w:val="en-US" w:eastAsia="zh-CN"/>
        </w:rPr>
        <w:t>卞工</w:t>
      </w:r>
    </w:p>
    <w:p w14:paraId="66C140C5">
      <w:pPr>
        <w:shd w:val="clear" w:color="auto" w:fill="FFFFFF"/>
        <w:adjustRightInd w:val="0"/>
        <w:snapToGrid w:val="0"/>
        <w:ind w:firstLine="560"/>
        <w:rPr>
          <w:rFonts w:hint="default" w:eastAsia="宋体" w:cs="Times New Roman"/>
          <w:kern w:val="0"/>
          <w:sz w:val="28"/>
          <w:szCs w:val="28"/>
          <w:lang w:val="en-US" w:eastAsia="zh-CN"/>
        </w:rPr>
      </w:pPr>
      <w:r>
        <w:rPr>
          <w:rFonts w:cs="Times New Roman"/>
          <w:kern w:val="0"/>
          <w:sz w:val="28"/>
          <w:szCs w:val="28"/>
        </w:rPr>
        <w:t>联系电话：010-846658</w:t>
      </w:r>
      <w:r>
        <w:rPr>
          <w:rFonts w:hint="eastAsia" w:cs="Times New Roman"/>
          <w:kern w:val="0"/>
          <w:sz w:val="28"/>
          <w:szCs w:val="28"/>
          <w:lang w:val="en-US" w:eastAsia="zh-CN"/>
        </w:rPr>
        <w:t>74</w:t>
      </w:r>
    </w:p>
    <w:p w14:paraId="1EDEC2C6">
      <w:pPr>
        <w:shd w:val="clear" w:color="auto" w:fill="FFFFFF"/>
        <w:adjustRightInd w:val="0"/>
        <w:snapToGrid w:val="0"/>
        <w:ind w:firstLine="560"/>
        <w:rPr>
          <w:rFonts w:cs="Times New Roman"/>
          <w:kern w:val="0"/>
          <w:sz w:val="28"/>
          <w:szCs w:val="28"/>
        </w:rPr>
      </w:pPr>
      <w:r>
        <w:rPr>
          <w:rFonts w:cs="Times New Roman"/>
          <w:kern w:val="0"/>
          <w:sz w:val="28"/>
          <w:szCs w:val="28"/>
        </w:rPr>
        <w:t>电子邮箱：</w:t>
      </w:r>
      <w:r>
        <w:rPr>
          <w:rFonts w:hint="eastAsia" w:cs="Times New Roman"/>
          <w:kern w:val="0"/>
          <w:sz w:val="28"/>
          <w:szCs w:val="28"/>
        </w:rPr>
        <w:t>1</w:t>
      </w:r>
      <w:r>
        <w:rPr>
          <w:rFonts w:hint="eastAsia" w:cs="Times New Roman"/>
          <w:kern w:val="0"/>
          <w:sz w:val="28"/>
          <w:szCs w:val="28"/>
          <w:lang w:val="en-US" w:eastAsia="zh-CN"/>
        </w:rPr>
        <w:t>043723190</w:t>
      </w:r>
      <w:r>
        <w:rPr>
          <w:rFonts w:cs="Times New Roman"/>
          <w:kern w:val="0"/>
          <w:sz w:val="28"/>
          <w:szCs w:val="28"/>
        </w:rPr>
        <w:t>@qq.com</w:t>
      </w:r>
    </w:p>
    <w:p w14:paraId="62E2ED69">
      <w:pPr>
        <w:shd w:val="clear" w:color="auto" w:fill="FFFFFF"/>
        <w:adjustRightInd w:val="0"/>
        <w:snapToGrid w:val="0"/>
        <w:ind w:firstLine="562"/>
        <w:rPr>
          <w:rFonts w:cs="Times New Roman"/>
          <w:b/>
          <w:bCs/>
          <w:kern w:val="0"/>
          <w:sz w:val="28"/>
          <w:szCs w:val="28"/>
        </w:rPr>
      </w:pPr>
      <w:r>
        <w:rPr>
          <w:rFonts w:cs="Times New Roman"/>
          <w:b/>
          <w:bCs/>
          <w:kern w:val="0"/>
          <w:sz w:val="28"/>
          <w:szCs w:val="28"/>
        </w:rPr>
        <w:t>五、征求公众意见的主要事项</w:t>
      </w:r>
    </w:p>
    <w:p w14:paraId="36BAB9ED">
      <w:pPr>
        <w:shd w:val="clear" w:color="auto" w:fill="FFFFFF"/>
        <w:adjustRightInd w:val="0"/>
        <w:snapToGrid w:val="0"/>
        <w:ind w:firstLine="560"/>
        <w:rPr>
          <w:rFonts w:cs="Times New Roman"/>
          <w:kern w:val="0"/>
          <w:sz w:val="28"/>
          <w:szCs w:val="28"/>
        </w:rPr>
      </w:pPr>
      <w:r>
        <w:rPr>
          <w:rFonts w:cs="Times New Roman"/>
          <w:kern w:val="0"/>
          <w:sz w:val="28"/>
          <w:szCs w:val="28"/>
        </w:rPr>
        <w:t>（一）您认为本规划的实施对环境主要有哪些影响？</w:t>
      </w:r>
    </w:p>
    <w:p w14:paraId="347B7857">
      <w:pPr>
        <w:shd w:val="clear" w:color="auto" w:fill="FFFFFF"/>
        <w:adjustRightInd w:val="0"/>
        <w:snapToGrid w:val="0"/>
        <w:ind w:firstLine="560"/>
        <w:rPr>
          <w:rFonts w:cs="Times New Roman"/>
          <w:kern w:val="0"/>
          <w:sz w:val="28"/>
          <w:szCs w:val="28"/>
        </w:rPr>
      </w:pPr>
      <w:r>
        <w:rPr>
          <w:rFonts w:cs="Times New Roman"/>
          <w:kern w:val="0"/>
          <w:sz w:val="28"/>
          <w:szCs w:val="28"/>
        </w:rPr>
        <w:t>（二）您是否赞成本规划的实施（不赞成请说明原因）？</w:t>
      </w:r>
    </w:p>
    <w:p w14:paraId="7FC460C4">
      <w:pPr>
        <w:shd w:val="clear" w:color="auto" w:fill="FFFFFF"/>
        <w:adjustRightInd w:val="0"/>
        <w:snapToGrid w:val="0"/>
        <w:ind w:firstLine="560"/>
        <w:rPr>
          <w:rFonts w:cs="Times New Roman"/>
          <w:kern w:val="0"/>
          <w:sz w:val="28"/>
          <w:szCs w:val="28"/>
        </w:rPr>
      </w:pPr>
      <w:r>
        <w:rPr>
          <w:rFonts w:cs="Times New Roman"/>
          <w:kern w:val="0"/>
          <w:sz w:val="28"/>
          <w:szCs w:val="28"/>
        </w:rPr>
        <w:t>（三）从环境保护角度考虑，您对本规划有何意见和建议？</w:t>
      </w:r>
    </w:p>
    <w:p w14:paraId="2BC14421">
      <w:pPr>
        <w:shd w:val="clear" w:color="auto" w:fill="FFFFFF"/>
        <w:adjustRightInd w:val="0"/>
        <w:snapToGrid w:val="0"/>
        <w:ind w:firstLine="562"/>
        <w:rPr>
          <w:rFonts w:cs="Times New Roman"/>
          <w:b/>
          <w:bCs/>
          <w:kern w:val="0"/>
          <w:sz w:val="28"/>
          <w:szCs w:val="28"/>
        </w:rPr>
      </w:pPr>
      <w:r>
        <w:rPr>
          <w:rFonts w:cs="Times New Roman"/>
          <w:b/>
          <w:bCs/>
          <w:kern w:val="0"/>
          <w:sz w:val="28"/>
          <w:szCs w:val="28"/>
        </w:rPr>
        <w:t>六、公众提出意见的主要方式</w:t>
      </w:r>
    </w:p>
    <w:p w14:paraId="63EB5B38">
      <w:pPr>
        <w:shd w:val="clear" w:color="auto" w:fill="FFFFFF"/>
        <w:adjustRightInd w:val="0"/>
        <w:snapToGrid w:val="0"/>
        <w:ind w:firstLine="560"/>
        <w:rPr>
          <w:rFonts w:cs="Times New Roman"/>
          <w:kern w:val="0"/>
          <w:sz w:val="28"/>
          <w:szCs w:val="28"/>
        </w:rPr>
      </w:pPr>
      <w:r>
        <w:rPr>
          <w:rFonts w:hint="eastAsia" w:cs="Times New Roman"/>
          <w:kern w:val="0"/>
          <w:sz w:val="28"/>
          <w:szCs w:val="28"/>
        </w:rPr>
        <w:t>本次公告后，公众可下载《新疆维吾尔自治区准东煤田</w:t>
      </w:r>
      <w:r>
        <w:rPr>
          <w:rFonts w:hint="eastAsia" w:cs="Times New Roman"/>
          <w:kern w:val="0"/>
          <w:sz w:val="28"/>
          <w:szCs w:val="28"/>
          <w:lang w:eastAsia="zh-CN"/>
        </w:rPr>
        <w:t>将军庙</w:t>
      </w:r>
      <w:r>
        <w:rPr>
          <w:rFonts w:hint="eastAsia" w:cs="Times New Roman"/>
          <w:kern w:val="0"/>
          <w:sz w:val="28"/>
          <w:szCs w:val="28"/>
        </w:rPr>
        <w:t>矿区总体规划环境影响评价公众意见表》（详见附件1），反馈意见建议和相关信息填写完整后，发至</w:t>
      </w:r>
      <w:r>
        <w:rPr>
          <w:rFonts w:cs="Times New Roman"/>
          <w:kern w:val="0"/>
          <w:sz w:val="28"/>
          <w:szCs w:val="28"/>
        </w:rPr>
        <w:t>规划编制</w:t>
      </w:r>
      <w:r>
        <w:rPr>
          <w:rFonts w:hint="eastAsia" w:cs="Times New Roman"/>
          <w:kern w:val="0"/>
          <w:sz w:val="28"/>
          <w:szCs w:val="28"/>
        </w:rPr>
        <w:t>单位</w:t>
      </w:r>
      <w:r>
        <w:rPr>
          <w:rFonts w:cs="Times New Roman"/>
          <w:kern w:val="0"/>
          <w:sz w:val="28"/>
          <w:szCs w:val="28"/>
        </w:rPr>
        <w:t>、环评单位</w:t>
      </w:r>
      <w:r>
        <w:rPr>
          <w:rFonts w:hint="eastAsia" w:cs="Times New Roman"/>
          <w:kern w:val="0"/>
          <w:sz w:val="28"/>
          <w:szCs w:val="28"/>
        </w:rPr>
        <w:t>邮箱，或通过</w:t>
      </w:r>
      <w:r>
        <w:rPr>
          <w:rFonts w:cs="Times New Roman"/>
          <w:kern w:val="0"/>
          <w:sz w:val="28"/>
          <w:szCs w:val="28"/>
        </w:rPr>
        <w:t>信函、电话等方式</w:t>
      </w:r>
      <w:r>
        <w:rPr>
          <w:rFonts w:hint="eastAsia" w:cs="Times New Roman"/>
          <w:kern w:val="0"/>
          <w:sz w:val="28"/>
          <w:szCs w:val="28"/>
        </w:rPr>
        <w:t>向</w:t>
      </w:r>
      <w:r>
        <w:rPr>
          <w:rFonts w:cs="Times New Roman"/>
          <w:kern w:val="0"/>
          <w:sz w:val="28"/>
          <w:szCs w:val="28"/>
        </w:rPr>
        <w:t>规划编制</w:t>
      </w:r>
      <w:r>
        <w:rPr>
          <w:rFonts w:hint="eastAsia" w:cs="Times New Roman"/>
          <w:kern w:val="0"/>
          <w:sz w:val="28"/>
          <w:szCs w:val="28"/>
        </w:rPr>
        <w:t>单位</w:t>
      </w:r>
      <w:r>
        <w:rPr>
          <w:rFonts w:cs="Times New Roman"/>
          <w:kern w:val="0"/>
          <w:sz w:val="28"/>
          <w:szCs w:val="28"/>
        </w:rPr>
        <w:t>、环评单位发表关于本规划及其环评工作的意见和建议。请公众在发表意见的同时尽量提供详尽的联系方式，以便我们及时向您反馈。</w:t>
      </w:r>
    </w:p>
    <w:p w14:paraId="5650EC62">
      <w:pPr>
        <w:shd w:val="clear" w:color="auto" w:fill="FFFFFF"/>
        <w:adjustRightInd w:val="0"/>
        <w:snapToGrid w:val="0"/>
        <w:ind w:firstLine="562"/>
        <w:rPr>
          <w:rFonts w:cs="Times New Roman"/>
          <w:b/>
          <w:bCs/>
          <w:kern w:val="0"/>
          <w:sz w:val="28"/>
          <w:szCs w:val="28"/>
        </w:rPr>
      </w:pPr>
      <w:r>
        <w:rPr>
          <w:rFonts w:cs="Times New Roman"/>
          <w:b/>
          <w:bCs/>
          <w:kern w:val="0"/>
          <w:sz w:val="28"/>
          <w:szCs w:val="28"/>
        </w:rPr>
        <w:t>七、信息发布与意见反馈有效期限</w:t>
      </w:r>
    </w:p>
    <w:p w14:paraId="7989492F">
      <w:pPr>
        <w:shd w:val="clear" w:color="auto" w:fill="FFFFFF"/>
        <w:adjustRightInd w:val="0"/>
        <w:snapToGrid w:val="0"/>
        <w:ind w:firstLine="560"/>
        <w:rPr>
          <w:rFonts w:cs="Times New Roman"/>
          <w:kern w:val="0"/>
          <w:sz w:val="28"/>
          <w:szCs w:val="28"/>
        </w:rPr>
      </w:pPr>
      <w:r>
        <w:rPr>
          <w:rFonts w:cs="Times New Roman"/>
          <w:kern w:val="0"/>
          <w:sz w:val="28"/>
          <w:szCs w:val="28"/>
        </w:rPr>
        <w:t>自本公示发布后10个工作日内。</w:t>
      </w:r>
    </w:p>
    <w:p w14:paraId="22C98B42">
      <w:pPr>
        <w:shd w:val="clear" w:color="auto" w:fill="FFFFFF"/>
        <w:adjustRightInd w:val="0"/>
        <w:snapToGrid w:val="0"/>
        <w:ind w:firstLine="480" w:firstLineChars="0"/>
        <w:jc w:val="left"/>
        <w:rPr>
          <w:rFonts w:cs="Times New Roman"/>
          <w:color w:val="000000"/>
          <w:kern w:val="0"/>
          <w:sz w:val="28"/>
          <w:szCs w:val="28"/>
        </w:rPr>
      </w:pPr>
    </w:p>
    <w:p w14:paraId="28F02E22">
      <w:pPr>
        <w:shd w:val="clear" w:color="auto" w:fill="FFFFFF"/>
        <w:adjustRightInd w:val="0"/>
        <w:snapToGrid w:val="0"/>
        <w:ind w:firstLine="420" w:firstLineChars="0"/>
        <w:jc w:val="right"/>
        <w:rPr>
          <w:rFonts w:cs="Times New Roman"/>
          <w:color w:val="000000"/>
          <w:kern w:val="0"/>
          <w:sz w:val="28"/>
          <w:szCs w:val="28"/>
        </w:rPr>
      </w:pPr>
      <w:r>
        <w:rPr>
          <w:rFonts w:cs="Times New Roman"/>
          <w:color w:val="000000"/>
          <w:kern w:val="0"/>
          <w:sz w:val="28"/>
          <w:szCs w:val="28"/>
        </w:rPr>
        <w:t>202</w:t>
      </w:r>
      <w:r>
        <w:rPr>
          <w:rFonts w:hint="eastAsia" w:cs="Times New Roman"/>
          <w:color w:val="000000"/>
          <w:kern w:val="0"/>
          <w:sz w:val="28"/>
          <w:szCs w:val="28"/>
          <w:lang w:val="en-US" w:eastAsia="zh-CN"/>
        </w:rPr>
        <w:t>5</w:t>
      </w:r>
      <w:r>
        <w:rPr>
          <w:rFonts w:cs="Times New Roman"/>
          <w:color w:val="000000"/>
          <w:kern w:val="0"/>
          <w:sz w:val="28"/>
          <w:szCs w:val="28"/>
        </w:rPr>
        <w:t>年</w:t>
      </w:r>
      <w:r>
        <w:rPr>
          <w:rFonts w:hint="eastAsia" w:cs="Times New Roman"/>
          <w:color w:val="000000"/>
          <w:kern w:val="0"/>
          <w:sz w:val="28"/>
          <w:szCs w:val="28"/>
          <w:lang w:val="en-US" w:eastAsia="zh-CN"/>
        </w:rPr>
        <w:t>5</w:t>
      </w:r>
      <w:r>
        <w:rPr>
          <w:rFonts w:cs="Times New Roman"/>
          <w:color w:val="000000"/>
          <w:kern w:val="0"/>
          <w:sz w:val="28"/>
          <w:szCs w:val="28"/>
        </w:rPr>
        <w:t>月1</w:t>
      </w:r>
      <w:r>
        <w:rPr>
          <w:rFonts w:hint="eastAsia" w:cs="Times New Roman"/>
          <w:color w:val="000000"/>
          <w:kern w:val="0"/>
          <w:sz w:val="28"/>
          <w:szCs w:val="28"/>
          <w:lang w:val="en-US" w:eastAsia="zh-CN"/>
        </w:rPr>
        <w:t>8</w:t>
      </w:r>
      <w:r>
        <w:rPr>
          <w:rFonts w:cs="Times New Roman"/>
          <w:color w:val="000000"/>
          <w:kern w:val="0"/>
          <w:sz w:val="28"/>
          <w:szCs w:val="28"/>
        </w:rPr>
        <w:t>日</w:t>
      </w:r>
    </w:p>
    <w:p w14:paraId="212688F3">
      <w:pPr>
        <w:adjustRightInd w:val="0"/>
        <w:snapToGrid w:val="0"/>
        <w:ind w:firstLine="720"/>
        <w:jc w:val="center"/>
        <w:rPr>
          <w:rFonts w:cs="Times New Roman"/>
          <w:sz w:val="36"/>
          <w:szCs w:val="36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28F47F">
    <w:pPr>
      <w:pStyle w:val="2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D9675E">
    <w:pPr>
      <w:pStyle w:val="2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B0A284">
    <w:pPr>
      <w:pStyle w:val="2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48C4D2">
    <w:pPr>
      <w:pStyle w:val="3"/>
      <w:pBdr>
        <w:bottom w:val="none" w:color="auto" w:sz="0" w:space="0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320021">
    <w:pPr>
      <w:pStyle w:val="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AF9985">
    <w:pPr>
      <w:pStyle w:val="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UyMTgwNWVjM2RlZTlhM2EyOTcwMzBhYjJkODRmY2IifQ=="/>
  </w:docVars>
  <w:rsids>
    <w:rsidRoot w:val="00A10D64"/>
    <w:rsid w:val="00004470"/>
    <w:rsid w:val="00055623"/>
    <w:rsid w:val="00195FBD"/>
    <w:rsid w:val="001F25CF"/>
    <w:rsid w:val="0022614F"/>
    <w:rsid w:val="00230D72"/>
    <w:rsid w:val="00281468"/>
    <w:rsid w:val="002C6E1A"/>
    <w:rsid w:val="002D1D58"/>
    <w:rsid w:val="002F79DA"/>
    <w:rsid w:val="00331677"/>
    <w:rsid w:val="0052591D"/>
    <w:rsid w:val="00535C7A"/>
    <w:rsid w:val="0054321F"/>
    <w:rsid w:val="00644CF3"/>
    <w:rsid w:val="00663D8B"/>
    <w:rsid w:val="006A54F3"/>
    <w:rsid w:val="006D6878"/>
    <w:rsid w:val="00824801"/>
    <w:rsid w:val="008447D4"/>
    <w:rsid w:val="00896060"/>
    <w:rsid w:val="008D72BC"/>
    <w:rsid w:val="00962F1F"/>
    <w:rsid w:val="00971772"/>
    <w:rsid w:val="00A10D64"/>
    <w:rsid w:val="00B72600"/>
    <w:rsid w:val="00B8297C"/>
    <w:rsid w:val="00B93132"/>
    <w:rsid w:val="00C23832"/>
    <w:rsid w:val="00C805B6"/>
    <w:rsid w:val="00C84175"/>
    <w:rsid w:val="00CF43F5"/>
    <w:rsid w:val="00D0072F"/>
    <w:rsid w:val="00D36C84"/>
    <w:rsid w:val="00DD5BA0"/>
    <w:rsid w:val="00EA3BD0"/>
    <w:rsid w:val="00F15AD2"/>
    <w:rsid w:val="00F4164F"/>
    <w:rsid w:val="00F41B17"/>
    <w:rsid w:val="00F83D6A"/>
    <w:rsid w:val="00FC1C6B"/>
    <w:rsid w:val="03360E4F"/>
    <w:rsid w:val="06134393"/>
    <w:rsid w:val="1EF67CA4"/>
    <w:rsid w:val="265C0D35"/>
    <w:rsid w:val="2E3F51C4"/>
    <w:rsid w:val="3031320E"/>
    <w:rsid w:val="50146059"/>
    <w:rsid w:val="5D1D6D54"/>
    <w:rsid w:val="605E50CE"/>
    <w:rsid w:val="617A1A94"/>
    <w:rsid w:val="67CB3049"/>
    <w:rsid w:val="6DFF4199"/>
    <w:rsid w:val="7AFF1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360" w:lineRule="auto"/>
      <w:ind w:firstLine="200" w:firstLineChars="200"/>
      <w:jc w:val="both"/>
    </w:pPr>
    <w:rPr>
      <w:rFonts w:ascii="Times New Roman" w:hAnsi="Times New Roman" w:eastAsia="宋体" w:cstheme="minorBidi"/>
      <w:kern w:val="2"/>
      <w:sz w:val="24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3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spacing w:before="100" w:beforeAutospacing="1" w:after="100" w:afterAutospacing="1" w:line="240" w:lineRule="auto"/>
      <w:ind w:firstLine="0" w:firstLineChars="0"/>
      <w:jc w:val="left"/>
    </w:pPr>
    <w:rPr>
      <w:rFonts w:ascii="宋体" w:hAnsi="宋体" w:cs="宋体"/>
      <w:kern w:val="0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customStyle="1" w:styleId="8">
    <w:name w:val="正文12 Char"/>
    <w:link w:val="9"/>
    <w:qFormat/>
    <w:uiPriority w:val="0"/>
    <w:rPr>
      <w:rFonts w:ascii="宋体" w:hAnsi="宋体"/>
      <w:szCs w:val="24"/>
    </w:rPr>
  </w:style>
  <w:style w:type="paragraph" w:customStyle="1" w:styleId="9">
    <w:name w:val="正文12"/>
    <w:basedOn w:val="1"/>
    <w:link w:val="8"/>
    <w:qFormat/>
    <w:uiPriority w:val="0"/>
    <w:pPr>
      <w:widowControl w:val="0"/>
      <w:spacing w:line="520" w:lineRule="exact"/>
      <w:ind w:firstLine="482" w:firstLineChars="0"/>
    </w:pPr>
    <w:rPr>
      <w:rFonts w:ascii="宋体" w:hAnsi="宋体"/>
      <w:szCs w:val="24"/>
    </w:rPr>
  </w:style>
  <w:style w:type="character" w:customStyle="1" w:styleId="10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11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image" Target="media/image1.png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1060</Words>
  <Characters>1233</Characters>
  <Lines>8</Lines>
  <Paragraphs>2</Paragraphs>
  <TotalTime>21</TotalTime>
  <ScaleCrop>false</ScaleCrop>
  <LinksUpToDate>false</LinksUpToDate>
  <CharactersWithSpaces>1234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2021-04-30T07:43:00Z</dcterms:created>
  <dc:creator>吴艺楠</dc:creator>
  <cp:lastModifiedBy>水色江南</cp:lastModifiedBy>
  <dcterms:modified xsi:type="dcterms:W3CDTF">2025-05-19T08:59:08Z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AA258806C02D40E4B251D5CC7353D345</vt:lpwstr>
  </property>
  <property fmtid="{D5CDD505-2E9C-101B-9397-08002B2CF9AE}" pid="4" name="KSOTemplateDocerSaveRecord">
    <vt:lpwstr>eyJoZGlkIjoiNjM0NjExZjkzNjQ1ZDdmNmUwMmM5ZTZiNzJhZjZlZTYiLCJ1c2VySWQiOiI4MzE0NTM2ODAifQ==</vt:lpwstr>
  </property>
</Properties>
</file>