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color w:val="333333"/>
          <w:sz w:val="32"/>
          <w:szCs w:val="32"/>
          <w:lang w:bidi="ar"/>
        </w:rPr>
      </w:pPr>
      <w:r>
        <w:rPr>
          <w:rFonts w:hint="eastAsia" w:ascii="黑体" w:hAnsi="黑体" w:eastAsia="黑体" w:cs="宋体"/>
          <w:color w:val="333333"/>
          <w:sz w:val="32"/>
          <w:szCs w:val="32"/>
          <w:lang w:bidi="ar"/>
        </w:rPr>
        <w:t>附件4：</w:t>
      </w: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部门单位整体支出绩效</w:t>
      </w: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w:t>
      </w:r>
      <w:r>
        <w:rPr>
          <w:rFonts w:hint="eastAsia" w:ascii="仿宋_GB2312" w:hAnsi="宋体" w:eastAsia="仿宋_GB2312"/>
          <w:b/>
          <w:sz w:val="32"/>
          <w:szCs w:val="32"/>
        </w:rPr>
        <w:t>2023</w:t>
      </w:r>
      <w:r>
        <w:rPr>
          <w:rFonts w:hint="eastAsia" w:hAnsi="宋体" w:eastAsia="仿宋_GB2312" w:cs="宋体"/>
          <w:kern w:val="0"/>
          <w:sz w:val="36"/>
          <w:szCs w:val="36"/>
        </w:rPr>
        <w:t>年度）</w:t>
      </w:r>
    </w:p>
    <w:p>
      <w:pPr>
        <w:spacing w:line="700" w:lineRule="exact"/>
        <w:jc w:val="left"/>
        <w:rPr>
          <w:rFonts w:hAnsi="宋体" w:eastAsia="仿宋_GB2312" w:cs="宋体"/>
          <w:kern w:val="0"/>
          <w:sz w:val="36"/>
          <w:szCs w:val="36"/>
        </w:rPr>
      </w:pPr>
    </w:p>
    <w:p>
      <w:pPr>
        <w:spacing w:line="700" w:lineRule="exact"/>
        <w:jc w:val="left"/>
        <w:rPr>
          <w:rFonts w:hAnsi="宋体" w:eastAsia="仿宋_GB2312" w:cs="宋体"/>
          <w:kern w:val="0"/>
          <w:sz w:val="36"/>
          <w:szCs w:val="36"/>
        </w:rPr>
      </w:pPr>
    </w:p>
    <w:p>
      <w:pPr>
        <w:spacing w:line="700" w:lineRule="exact"/>
        <w:jc w:val="left"/>
        <w:rPr>
          <w:rFonts w:hAnsi="宋体" w:eastAsia="仿宋_GB2312" w:cs="宋体"/>
          <w:kern w:val="0"/>
          <w:sz w:val="36"/>
          <w:szCs w:val="36"/>
        </w:rPr>
      </w:pPr>
    </w:p>
    <w:p>
      <w:pPr>
        <w:spacing w:line="700" w:lineRule="exact"/>
        <w:jc w:val="left"/>
        <w:rPr>
          <w:rFonts w:hAnsi="宋体" w:eastAsia="仿宋_GB2312" w:cs="宋体"/>
          <w:kern w:val="0"/>
          <w:sz w:val="36"/>
          <w:szCs w:val="36"/>
        </w:rPr>
      </w:pPr>
    </w:p>
    <w:p>
      <w:pPr>
        <w:spacing w:line="700" w:lineRule="exact"/>
        <w:jc w:val="left"/>
        <w:rPr>
          <w:rFonts w:hAnsi="宋体" w:eastAsia="仿宋_GB2312" w:cs="宋体"/>
          <w:kern w:val="0"/>
          <w:sz w:val="36"/>
          <w:szCs w:val="36"/>
        </w:rPr>
      </w:pPr>
    </w:p>
    <w:p>
      <w:pPr>
        <w:spacing w:line="700" w:lineRule="exact"/>
        <w:jc w:val="left"/>
        <w:rPr>
          <w:rFonts w:hAnsi="宋体" w:eastAsia="仿宋_GB2312" w:cs="宋体"/>
          <w:kern w:val="0"/>
          <w:sz w:val="36"/>
          <w:szCs w:val="36"/>
        </w:rPr>
      </w:pPr>
    </w:p>
    <w:p>
      <w:pPr>
        <w:spacing w:line="700" w:lineRule="exact"/>
        <w:jc w:val="left"/>
        <w:rPr>
          <w:rFonts w:hAnsi="宋体" w:eastAsia="仿宋_GB2312" w:cs="宋体"/>
          <w:kern w:val="0"/>
          <w:sz w:val="36"/>
          <w:szCs w:val="36"/>
        </w:rPr>
      </w:pPr>
    </w:p>
    <w:p>
      <w:pPr>
        <w:spacing w:line="700" w:lineRule="exact"/>
        <w:jc w:val="left"/>
        <w:rPr>
          <w:rFonts w:hAnsi="宋体" w:eastAsia="仿宋_GB2312" w:cs="宋体"/>
          <w:kern w:val="0"/>
          <w:sz w:val="36"/>
          <w:szCs w:val="36"/>
        </w:rPr>
      </w:pPr>
    </w:p>
    <w:p>
      <w:pPr>
        <w:spacing w:line="540" w:lineRule="exact"/>
        <w:ind w:firstLine="720" w:firstLineChars="200"/>
        <w:rPr>
          <w:rFonts w:hAnsi="宋体" w:eastAsia="仿宋_GB2312" w:cs="宋体"/>
          <w:kern w:val="0"/>
          <w:sz w:val="44"/>
          <w:szCs w:val="44"/>
        </w:rPr>
      </w:pPr>
      <w:r>
        <w:rPr>
          <w:rFonts w:hint="eastAsia" w:hAnsi="宋体" w:eastAsia="仿宋_GB2312" w:cs="宋体"/>
          <w:kern w:val="0"/>
          <w:sz w:val="36"/>
          <w:szCs w:val="36"/>
        </w:rPr>
        <w:t>部门单位名称（公章）</w:t>
      </w:r>
      <w:r>
        <w:rPr>
          <w:rFonts w:hint="eastAsia" w:ascii="仿宋" w:hAnsi="仿宋" w:eastAsia="仿宋" w:cs="仿宋"/>
          <w:kern w:val="0"/>
          <w:sz w:val="44"/>
          <w:szCs w:val="44"/>
        </w:rPr>
        <w:t>：</w:t>
      </w:r>
      <w:r>
        <w:rPr>
          <w:rStyle w:val="6"/>
          <w:rFonts w:hint="eastAsia" w:ascii="仿宋" w:hAnsi="仿宋" w:eastAsia="仿宋" w:cs="仿宋"/>
          <w:b w:val="0"/>
          <w:bCs w:val="0"/>
          <w:spacing w:val="-4"/>
          <w:sz w:val="44"/>
          <w:szCs w:val="44"/>
        </w:rPr>
        <w:t>新疆准东经济技术开发区管理委员会</w:t>
      </w:r>
    </w:p>
    <w:p>
      <w:pPr>
        <w:spacing w:line="540" w:lineRule="exact"/>
        <w:ind w:firstLine="720" w:firstLineChars="200"/>
        <w:rPr>
          <w:rFonts w:ascii="仿宋" w:hAnsi="仿宋" w:eastAsia="仿宋" w:cs="仿宋"/>
          <w:kern w:val="0"/>
          <w:sz w:val="44"/>
          <w:szCs w:val="44"/>
        </w:rPr>
      </w:pPr>
      <w:r>
        <w:rPr>
          <w:rFonts w:hint="eastAsia" w:hAnsi="宋体" w:eastAsia="仿宋_GB2312" w:cs="宋体"/>
          <w:kern w:val="0"/>
          <w:sz w:val="36"/>
          <w:szCs w:val="36"/>
        </w:rPr>
        <w:t>填报时间：</w:t>
      </w:r>
      <w:r>
        <w:rPr>
          <w:rStyle w:val="6"/>
          <w:rFonts w:hint="eastAsia" w:ascii="仿宋" w:hAnsi="仿宋" w:eastAsia="仿宋" w:cs="仿宋"/>
          <w:b w:val="0"/>
          <w:bCs w:val="0"/>
          <w:spacing w:val="-4"/>
          <w:sz w:val="44"/>
          <w:szCs w:val="44"/>
        </w:rPr>
        <w:t>2024年05月31日</w:t>
      </w:r>
    </w:p>
    <w:p>
      <w:pPr>
        <w:spacing w:line="700" w:lineRule="exact"/>
        <w:jc w:val="left"/>
        <w:rPr>
          <w:rFonts w:hAnsi="宋体" w:eastAsia="仿宋_GB2312" w:cs="宋体"/>
          <w:kern w:val="0"/>
          <w:sz w:val="36"/>
          <w:szCs w:val="36"/>
        </w:rPr>
      </w:pPr>
    </w:p>
    <w:p>
      <w:pPr>
        <w:spacing w:line="700" w:lineRule="exact"/>
        <w:jc w:val="left"/>
        <w:rPr>
          <w:rFonts w:hAnsi="宋体" w:eastAsia="仿宋_GB2312" w:cs="宋体"/>
          <w:kern w:val="0"/>
          <w:sz w:val="36"/>
          <w:szCs w:val="36"/>
        </w:rPr>
      </w:pPr>
    </w:p>
    <w:p>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基本概况：</w:t>
      </w:r>
    </w:p>
    <w:p>
      <w:pPr>
        <w:spacing w:line="600" w:lineRule="exact"/>
        <w:ind w:firstLine="964" w:firstLineChars="300"/>
        <w:jc w:val="left"/>
        <w:rPr>
          <w:rFonts w:hint="eastAsia" w:ascii="Arial" w:hAnsi="Arial" w:cs="Arial"/>
          <w:b/>
          <w:bCs/>
          <w:color w:val="333333"/>
          <w:sz w:val="30"/>
          <w:szCs w:val="30"/>
        </w:rPr>
      </w:pPr>
      <w:r>
        <w:rPr>
          <w:rFonts w:hint="eastAsia" w:ascii="黑体" w:hAnsi="黑体" w:eastAsia="黑体" w:cs="宋体"/>
          <w:b/>
          <w:color w:val="000000" w:themeColor="text1"/>
          <w:sz w:val="32"/>
          <w:szCs w:val="32"/>
          <w:lang w:bidi="ar"/>
          <w14:textFill>
            <w14:solidFill>
              <w14:schemeClr w14:val="tx1"/>
            </w14:solidFill>
          </w14:textFill>
        </w:rPr>
        <w:t>（一）</w:t>
      </w:r>
      <w:r>
        <w:rPr>
          <w:rFonts w:ascii="黑体" w:hAnsi="黑体" w:eastAsia="黑体" w:cs="宋体"/>
          <w:b/>
          <w:color w:val="000000" w:themeColor="text1"/>
          <w:sz w:val="32"/>
          <w:szCs w:val="32"/>
          <w:lang w:bidi="ar"/>
          <w14:textFill>
            <w14:solidFill>
              <w14:schemeClr w14:val="tx1"/>
            </w14:solidFill>
          </w14:textFill>
        </w:rPr>
        <w:t>部门单位基本情况</w:t>
      </w:r>
      <w:r>
        <w:rPr>
          <w:rFonts w:hint="eastAsia" w:ascii="Arial" w:hAnsi="Arial" w:cs="Arial"/>
          <w:b/>
          <w:bCs/>
          <w:color w:val="333333"/>
          <w:sz w:val="30"/>
          <w:szCs w:val="30"/>
        </w:rPr>
        <w:t>：</w:t>
      </w:r>
    </w:p>
    <w:p>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新疆准东经济技术开发区党工委、管委会负责对准东经济技术开发区实行统一发展政策、统一规划建设、统一资源调配、统一产业布局、统一管理协调，重点对产业发展实行全面调控。主要履行开发区的经济发展职能，协调组织行政区划所在地县市人民政府开展开发区内的行政执法，开发区社会事务服务管理职责交由行政区划所在地县市人民政府履行。准东经济技术开发区管理委员会主要职责具体有：</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1.贯彻落实国家和自治区、州人民政府的各项方针、政策，研究制定准东经济技术开发区经济和社会发展规划、管理办法、相关配套优惠措施，并组织实施。</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2.承担组织编制准东经济技术开发区总体规划、专项规划并组织实施的责任。负责准东经济技术开发区规划管理工作，组织编制准东经济技术开发区总体规划以及涉及建设和产业发展的各专项规划，按程序报批后组织实施；受委托核发《建设项目选址意见书》《建设用地规划许可证》和《建设工程规划许可证》；受委托负责准东经济技术开发区规划执法检查，查处违法行为。</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3.贯彻执行和监督实施国家财政、税收、财务会计、国有资产管理的法规制度和方针政策；组织拟定开发区财政、国有资产、资产评估、财务会计等方面的地方性规章、制度，并监督实施；根据国家有关政策和规定，拟订和执行开发区统一规定的开支标准、政府采购政策、制度；负责建立和实施国库集中支付制度；贯彻执行《企业财务通则》及分行业企业财务制度、《事业单位财务规则》、《行政单位财务规则》；监督财税方针政策、法规和财会制度的执行；检查、反映财政收支管理中的重大问题事项，提出加强财政管理的政策建议。 </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4.承担准东经济技术开发区建设工程质量安全监管和房地产市场监管的责任。负责开发区建设工程招投标、施工质量和施工安全以及建设工程质量安全监督管理；受委托核发《中标通知书》、《建设工程施工许可证》等相关证书，办理建设工程开工审批手续；受委托负责准东开发区房产管理工作，核发《房屋所有权证》；受委托负责开发区建设执法检查，查处违法行为。</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5.承担准东经济技术开发区预防、控制环境污染和环境破坏的责任。负责准东经济技术开发区环境保护管理工作，负责环境污染防治的监督管理，受委托审批县级权限内建设项目环境影响报告书（表）等评价文件，落实“三同时”制度，组织建设项目环境保护竣工验收；负责企业排污申报登记和排污费征收工作，受委托核发《排污许可证》，完成污染减排和总量控制任务；负责指导企业制定“三废”治理工程方案并监督实施；负责环境质量监测、环境应急与安全管理；负责统一制定生态绿化建设方案，报州人民政府批准后组织实施；受委托负责准东经济技术开发区环境保护执法检查，查处违法行为。</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6.承担准东经济技术开发区除交通安全、火工器材、煤矿安全生产以外的安全生产监督管理的责任。监督检查生产经营单位贯彻执行安全生产法律、法规情况及其安全生产条件、有关设备、材料以及劳动防护用品的安全管理工作情况；监督检查生产经营单位建设项目安全生产“三同时”情况，负责开发区非煤矿山、危险化学品生产经营企业安全准入管理工作。受委托负责州级权限内非煤矿山、危险化学品生产企业安全生产许可；受委托核发《危险化学品使用许可证》、《危险化学品经营许可证》；受委托负责州级权限内非煤矿山建设项目和危险化学品生产储存建设项目安全设施设计审查与竣工验收；受委托负责不涉及中央和自治区企业的职业卫生安全许可；监督检查重大危险源的监控和重大事故隐患的整改工作，受委托查处不具备安全生产条件的生产经营单位；负责安全生产事故的报告、统计分析，组织协调权限范围内安全生产事故的调查处理、办理结案和应急救援工作；监督检查作业场所职业卫生，受委托组织查处职业危害事故和有关违法违规行为。（注：准东经济技术开发区交通安全、火工器材、煤矿安全生产按属地管理原则，由所在县人民政府承担监督管理职责，准东经济技术开发区管委会做好协助工作。）</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7.负责准东经济技术开发区劳动监察工作。受委托组织实施劳动监察，协调劳动者维权工作，组织协调处理群体性突发事件，受委托查处劳动监察案件；贯彻落实国家、自治区农民工工作综合性政策和规划，维护农民工合法权益，推动农民工相关政策的落实。</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8.负责准东经济技术开发区项目立项管理工作。对开发区建设项目行使州级项目管理权；负责新建建设项目，技术改造项目，科技项目的立项管理，对地州级（含地州级）管理权限以下的项目进行核准或备案，并报备州、县有关部门；对地州级审批管理权限以上的项目，提出初审意见，经州级有关部门转报自治区、国家有关部门审批；牵头协调做好国家及自治区层面立项审批的跟踪跑办工作。</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9.统筹准东经济技术开发区基础设施建设。研究提出准东经济技术开发区基础设施建设方案，经批准后组织实施；负责组织实施开发区生活服务基地的水、电、路、供暖等基础设施建设工作；协调做好区域性铁路、供电、供水、通信等工程立项审批、工程建设进度监督和建设服务工作；协助所在县人民政府做好生活服务基地社会事业建设项目的申报和组织实施工作。</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10.承担东延供水工程配给准东经济技术开发区客水资源的合理配置与节约用水管理的责任，拟订开发区水利发展政策措施、发展战略和中长期规划；负责开发区生活、生产经营和生态环境用水的保障工作；组织有关开发区国民经济总体规划、城镇规划及重大建设项目的水资源和防洪论证工作；发布开发区水资源公报； 拟订开发区节约用水政策，编制节约用水规划，制定有关标准；负责开发区东延供水工程节点以下的客水资源供水工程建设管理；受委托承担开发区地下水资源管理、水土保持、水环境保护及节水行政执法工作；受委托开展权限内水域纳污能力核定、地下水取水许可，凿井方案核准，开发建设项目水土保持方案审批工作；配合开发区所在县水行政主管部门开展地下水资源费及水土保持设施补偿费征收执法工作。</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11.负责对准东经济技术开发区各类企业进行宏观指导、组织协调，维护开发区企业的合法权益，开展全方位的服务，推动开发区产业发展和企业成长。</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12.承办自治州人民政府交办的其它工作。</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新疆准东经济技术开发区管理委员会无下属预算单位，下设19个机构，其中内设机构11个，分别为党政办、纪工委、组织部（人力资源和社会保障局）、综合治理办公室、经济发展局、规划建设局、安全生产监督管理局、财政局（国资局）、环保局、水务局、工程项目管理中心；州直派出机构6个，分别为公安分局、消防站、自然资源分局、市场监督管理局、税务局、气象灾害防御中心；建制镇2个，分别为五彩湾镇、芨芨湖镇。2023年度准东开发区编制人数170人（其中包含2023年核定的社会事务管理局新增编制人数12人），在编人员年末实有人数126人。截止2023年12月31日，准东开发区实际人数1618人，包含占有和使用资产的内设部门聘任上岗人员、挂职人员和购买社会化人员，以及派驻单位派驻人员等，其中，聘任上岗人员314人（含在编126人），派驻单位和挂职人员289人，购买社会化人员1015人。</w:t>
      </w:r>
      <w:bookmarkStart w:id="0" w:name="_Hlk43849111"/>
      <w:bookmarkEnd w:id="0"/>
    </w:p>
    <w:p>
      <w:pPr>
        <w:spacing w:line="600" w:lineRule="exact"/>
        <w:ind w:firstLine="964" w:firstLineChars="300"/>
        <w:jc w:val="left"/>
        <w:rPr>
          <w:rFonts w:hint="eastAsia"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（二）</w:t>
      </w:r>
      <w:r>
        <w:rPr>
          <w:rFonts w:ascii="黑体" w:hAnsi="黑体" w:eastAsia="黑体" w:cs="宋体"/>
          <w:b/>
          <w:color w:val="000000" w:themeColor="text1"/>
          <w:sz w:val="32"/>
          <w:szCs w:val="32"/>
          <w:lang w:bidi="ar"/>
          <w14:textFill>
            <w14:solidFill>
              <w14:schemeClr w14:val="tx1"/>
            </w14:solidFill>
          </w14:textFill>
        </w:rPr>
        <w:t>部门单位年度重点工作：</w:t>
      </w:r>
    </w:p>
    <w:p>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一）坚持新发展理念，加快构建准东现代化产业体系。一是加快开发区《“十四五”及中长期产业发展规划》、《国土空间规划》等重要规划编制进度和中期评估，推进产业向高端化、智能化、绿色发展。二是按照建设一批大型现代化、智能化煤矿要求，加快天隆希望、国泰新华等在建煤矿建设，继续争取煤炭产能核增。三是强化招商引资，围绕现代煤化工、硅基铝基新材料等特色优势产业延链、补链、强链，推进重点企业上下游配套发展。</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二）坚持改革创新，持续激发高质量发展内生动力。一是持续深化管理体制改革。加快推进统计服务中心、招商促进局、准东气象局等专业机构设置，进一步强化五彩湾镇、芨芨湖镇社会事务管理职能。二是持续深化“放管服”改革。深入推进“互联网+政务服务”“一网通办”“并联审批”等便捷服务，持续推行政务服务大厅“节假日不打烊”服务。三是推进创新驱动发展。稳步提升科技支撑重点产业发展能力，打造高水平研发平台，推动中科院新疆分院设立丝路创新院。</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三）坚持产城融合，助力提升高质量发展承载能力。一是加快推进新城建设。加快建设五彩湾、芨芨湖新城，坚持景城一体，重点推进五彩湾城区主干道路及沿街商户亮化工程。加快推进供排水、绿化用水等水网整体规划，有序推进新城热力管网及换热站、城区排水提升改造、生活服务区供水工程一期等项目建设。二是坚持以产兴城、以城促产，推进第三产业与城市建设融合发展。加快制定《准东开发区推动第三产业高质量发展三年行动计划（2023-2025）》，积极引导服务多样的服务业态进驻准东，加快准东迎宾馆其亚小区等三产项目建设，重点培育五金机电、机械租赁、仓储物流等专业市场、三是坚持区域协调发展。主动融入丝绸之路经济带核心区建设，加快开发区综合保税区创建，推进炬申陆路港项目建设，提升对外开放水平。</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四）严守安全生产地县，全面落实安全生产责任。一是强化安全生产责任落实。进一步压实安全生产“党政同责、一岗双责、齐抓共管、失职追责”。进一步完善安全生产长效机制，有效防范和坚决遏制重特大事故发生。二是强化安全生产治理水平。持续加强企业安全风险“一页、一册、一本”清单管控，建立多方参与的</w:t>
      </w:r>
      <w:r>
        <w:rPr>
          <w:rFonts w:hint="eastAsia" w:ascii="仿宋_GB2312" w:hAnsi="宋体" w:eastAsia="仿宋_GB2312"/>
          <w:bCs/>
          <w:sz w:val="32"/>
          <w:szCs w:val="32"/>
          <w:lang w:eastAsia="zh-CN"/>
        </w:rPr>
        <w:t>安全生产形势</w:t>
      </w:r>
      <w:r>
        <w:rPr>
          <w:rFonts w:hint="eastAsia" w:ascii="仿宋_GB2312" w:hAnsi="宋体" w:eastAsia="仿宋_GB2312"/>
          <w:bCs/>
          <w:sz w:val="32"/>
          <w:szCs w:val="32"/>
        </w:rPr>
        <w:t>分析研判会商机制，提升各类安全风险防范化解能力。三是加强应急管理能力建设。完善应急管理指挥体系，构建上下贯通、智慧高效的应急救援网络，着力提升辖区企业应急救援队伍救援能力。</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（五）坚持绿色低碳发展，牢牢守住生态保护红线。一是打好污染防治攻坚战。持续推进第二轮</w:t>
      </w:r>
      <w:bookmarkStart w:id="1" w:name="_GoBack"/>
      <w:bookmarkEnd w:id="1"/>
      <w:r>
        <w:rPr>
          <w:rFonts w:hint="eastAsia" w:ascii="仿宋_GB2312" w:hAnsi="宋体" w:eastAsia="仿宋_GB2312"/>
          <w:bCs/>
          <w:sz w:val="32"/>
          <w:szCs w:val="32"/>
        </w:rPr>
        <w:t>中央环保督察反馈问题整改和“回头看”，推动各类问题整改。二是推动绿色低碳转型发展。推进“三线一单”减污降碳协同管控试点，强化重点行业、重点区域环境准入约束，提高协同减污降碳能力。三是实施生态绿化提升工程。坚持生态环境一体化保护和系统治理，全面推行林长制和卡山保护区共建共管机制，提升绿化管护水平。</w:t>
      </w:r>
    </w:p>
    <w:p>
      <w:pPr>
        <w:spacing w:line="600" w:lineRule="exact"/>
        <w:ind w:firstLine="964" w:firstLineChars="300"/>
        <w:jc w:val="left"/>
        <w:rPr>
          <w:rFonts w:hint="eastAsia"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（三）</w:t>
      </w:r>
      <w:r>
        <w:rPr>
          <w:rFonts w:ascii="黑体" w:hAnsi="黑体" w:eastAsia="黑体" w:cs="宋体"/>
          <w:b/>
          <w:color w:val="000000" w:themeColor="text1"/>
          <w:sz w:val="32"/>
          <w:szCs w:val="32"/>
          <w:lang w:bidi="ar"/>
          <w14:textFill>
            <w14:solidFill>
              <w14:schemeClr w14:val="tx1"/>
            </w14:solidFill>
          </w14:textFill>
        </w:rPr>
        <w:t>部门单位整体预算规模及安排情况：</w:t>
      </w:r>
    </w:p>
    <w:p>
      <w:pPr>
        <w:spacing w:line="600" w:lineRule="exact"/>
        <w:ind w:firstLine="960" w:firstLineChars="300"/>
        <w:jc w:val="left"/>
        <w:rPr>
          <w:rFonts w:hint="eastAsia" w:ascii="仿宋_GB2312" w:hAnsi="宋体" w:eastAsia="仿宋_GB2312"/>
          <w:bCs/>
          <w:sz w:val="32"/>
          <w:szCs w:val="32"/>
        </w:rPr>
      </w:pPr>
      <w:r>
        <w:rPr>
          <w:rFonts w:hint="eastAsia" w:ascii="仿宋_GB2312" w:hAnsi="宋体" w:eastAsia="仿宋_GB2312"/>
          <w:bCs/>
          <w:sz w:val="32"/>
          <w:szCs w:val="32"/>
        </w:rPr>
        <w:t>准东开发区2023年度共安排财政预算281109万元，其中中央安排预算资金25716万元，自治区安排预算资金451万元，州级安排预算资金7155万元，开发区本级财政安排预算资金247786万元。</w:t>
      </w:r>
    </w:p>
    <w:p>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部门单位整体支出管理及使用情况：</w:t>
      </w:r>
    </w:p>
    <w:p>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（一）部门单位整体支出管理情况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严格按照年初预算安排，遵守资金管理制度，强化监督，专款专用，基本支出根据单位人员编制、实有人数、资产情况等要素进行预算编制；项目支出根据单位工作职能，年度工作任务等要素进行预算编制。所有追加项目均通过准东开发区财经委员会审议，预算批复后，严格按照批复的预算和绩效目标执行。预算执行过程中，严格按照《行政事业单位财务管理规定》对各预算单位各项经费进行严格管理，提高资金使用效益，防范和管控风险，每一笔支出经费入账程序规范，严禁出现截留、挤占、挪用及虚列支出等违规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（二）部门单位整体支出使用情况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2023年，开发区一般公共财政预算支出272552万元，较上年增加30206万元，增长12.46%，其中：开发区2023年一般公共服务支出23022万元，完成年度预算的93%，较上年执行数增支3538万元，增长18.16%，主要用于政府机关及日常运转经费、人员工资等；公共安全支出7789万元，完成年度预算的194.73%，较上年执行数增支3901万元，增长100.3%，用于开发区社会和谐稳定和消防业务支出；教育支出7831万元, 完成年度预算的11.44%，较上年执行数增支60万元，增长0.77%，主要用于开发区学前教育、小学教育及职业教育支出；科学支出1443万元, 完成年度预算的48.1%，较上年执行数减支4557万元，下降75.95%，主要用于科技普及、科技项目支出；文化旅游体育与传媒支出0万元，较上年执行数减支46万元，下降100%；社会保障和就业支出1562万元, 完成年度预算的112.29%，较上年执行数增支998万元，增长176.95%；卫生健康支出20307万元, 完成年度预算的75.21%，较上年执行数增支5373万元，增长35.98%，增长原因为结算以前年初疫情防控发生费用支出；节能环保事务支出3501万元，完成年度预算的117.37%，较上年执行数增支2834万元，增长424.89%，主要用于环保卫生支出等；城乡社区支出143353万元，完成年度预算的41.1%，较上年执行数增支2489万元，增加1.77%，主要用于开发区城建管理、城建公共设施建设等；农林水事务支出16102万元, 完成年度预算的86.06%，较上年执行数减支564万元，减少3.38%；交通运输支出65万元，完成年度预算的32.5%，较上年执行数增支65万元。资源勘探信息等支出31672万元,完成年度预算的158.36%，较上年执行数增支10978万元，增长53.05%；商业服务业等支出899万元，完成年度预算的299.67%，较上年执行数增支618万元，增长219.93%；自然资源海洋气象等支出2419万元，完成年度预算的345.57%，较上年执行数增支1735万元，增长253.65%，主要用于园区气象基础设施建设等支出；住房保障支出1277万元, 完成年度预算的42.57%，较上年执行数增支314万元，增长32.61%，主要用于保障性安居工程支出等；灾害防治及应急管理支出8665万元。完成年度预算的123.79%，较上年执行数增支1932万元，增长28.69%，主要用于安全生产监督管理支出；债务付息支出2644万元，完成年度预算的87.38%，较上年执行数增支523万元，下降24.66%，主要用于开发区新增债券付息及发行费支出。</w:t>
      </w:r>
    </w:p>
    <w:p>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部门单位整体支出绩效分析：</w:t>
      </w:r>
    </w:p>
    <w:p>
      <w:pPr>
        <w:spacing w:line="600" w:lineRule="exact"/>
        <w:ind w:firstLine="800" w:firstLineChars="250"/>
        <w:jc w:val="left"/>
        <w:rPr>
          <w:rFonts w:ascii="仿宋_GB2312" w:hAnsi="宋体" w:eastAsia="仿宋_GB2312"/>
          <w:b/>
          <w:sz w:val="32"/>
          <w:szCs w:val="32"/>
        </w:rPr>
      </w:pPr>
      <w:r>
        <w:rPr>
          <w:rFonts w:hint="eastAsia" w:ascii="黑体" w:hAnsi="黑体" w:eastAsia="黑体" w:cs="宋体"/>
          <w:bCs/>
          <w:color w:val="333333"/>
          <w:sz w:val="32"/>
          <w:szCs w:val="32"/>
          <w:lang w:bidi="ar"/>
        </w:rPr>
        <w:t xml:space="preserve"> </w:t>
      </w:r>
      <w:r>
        <w:rPr>
          <w:rFonts w:hint="eastAsia" w:ascii="仿宋_GB2312" w:hAnsi="宋体" w:eastAsia="仿宋_GB2312"/>
          <w:bCs/>
          <w:sz w:val="32"/>
          <w:szCs w:val="32"/>
        </w:rPr>
        <w:t>（一）落实基层“三保”工作要求</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准东开发区在落实县级“三保”工作中，不断提高政治站位，坚持“三个优先”，把落实“三保”特别是保工资作为财政工作的重中之重，在预算安排、库款拨付等方面坚持“三个优先”，即坚持“三保”支出在财政支出中的优先顺序、坚持国家标准的“三保”支出在“三保”支出中的优先顺序、坚持国家标准工资在保工资中的优先顺序，确保不出现“三保”特别是保工资缺口。2023年准东开发区干部职工工资保障人数1618人，工资发放金额16788万元，运转经费支出金额6283.7万元，公务用车保障51辆，其他保障车辆49辆；按用途分类：应急保障用车7辆；执法执勤用车24辆；特种专业技术用车4辆；其他车辆65辆，保障率100%，每月干部职工工资均能正常发放，各部门办公经费均能保障到位。</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（二）持续深化管理体制改革和“放管服”改革  </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深入推行“大党委”共建共治共享机制，完成8个社区“两委”班子换届，创建州级“五个好”党支部5个，选派257名乡镇（社区）干部赴昌吉市独山子培训，重拳整治“推脱绕慢”作风顽疾，查摆整改问题4214条，设立17个营商环境监测站（点），16家违规违法企业列入“信用中国”失信名单。持续深化“证照分离”改革，推行“办照即营业”，“准入不准营”难题有效破解。围绕“综窗改革”将8个部门95个事项纳入综合窗口，综合窗口按期办结率100%，群众满意率达到100%。2023年，准东开发区经济发展局扎实推进基础设施建设，不断优化布局、结构和功能，全力构建现代化基础设施支撑体系，进一步增强了人民群众的获得感、幸福感、安全感，结合实际需求，分时开展涉及公用事业、公共服务领域6项成本监审工作；完成出租车成本监审及定价；供热、生活垃圾处理、污水处理、物业成本监审项目编制成本审核咨询正在有序推进；牵头开展五彩湾、芨芨湖两个建制镇转供电、转供水加价整治工作，在紧贴民生中推进高质量发展。</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（三）重点项目和基础设施建设扎实推进</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紧盯国家政策导向和资金投向，围绕服务产业发展和聚集“两镇”新城人气，实施建设一批强基础、增后劲、利长远的好项目，2023年，准东开发区累计建设40个项目，投资6.3亿元，争取债券资金3.1亿元，为经济版图画出了重要的一笔。先后完成西芨路、横二路、义马路、纵四路、准东大道等15条道路，建成道路全长35公里，贯通26公里，增加道路面积37余万平方米。30天完成新疆神火现厂区至北侧厂区铝水运输专线，助力企业安全生产，形成经济发展新框架，铺就民生“幸福路”的同时城区路网结构日臻完善，交通出行环境持续改善。完善城区集中供热管网建设、聚力老旧管网改造，完成五彩湾新城、中小企业孵化产业园供热管网及火烧山蒸汽管线的建设、升级改造，增加城区供热面积近50万平方米，智慧供热监控系统的运用，在有效实现节能减排的同时全面“点燃”民生温度。以城市供水一体化为抓手，进一步提升城区排水体系。实施西部新城生态供水、五彩湾生活服务区供水（一期）等供水工程，建设供水管网75公里；利用紫外光固化修复等非开挖技术为污水处理提质增效，完成排水管道修复22公里，修复排水井400座，改造9座污水提升泵站，让“放心水”流入家家户户，“用放心水，放心排水”。</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时刻践行“绿水青山就是金山银山”的发展理念，构建准东绿化新格局。实施了五彩湾新城南部区域支路乔木种植、G216道路两侧绿化、五彩湾片区水土流失治理项目等5项绿化项目，绚丽海棠等十余种种植种类、绿化种植面积33万平方米，持续推动区域生态环境改善。实施西黑山连接芨芨湖道路照明、西黑山产业园路灯、开发区主干道交叉口新增高杆灯及路灯等7项亮化、交通信号灯项目，新增路灯1126盏，交通信号灯133处。“扮靓”城市夜景，“点亮”城市文明形象。新增一处生活垃圾填埋场，今年在五彩湾城区新建100万立方生活垃圾填埋场，配套生产管理用房、车库、配电室等设施，确保垃圾处理设施规范运行，生活垃圾日处理能力将达到260吨，进一步增强开发区生活垃圾处置能力，有效防止生活垃圾对地下水、土壤、空气等环境的污染，不断提升开发区生态环境的清洁度和舒适度。同时，以项目建设作为促进教育高质量发展的重要抓手，多措并举，抢抓工期，开工建设五彩湾生活服务区一贯制学校 (二期)，总建筑面积25000多平方米，包括小学教学楼、办公综合楼、体育馆、学生宿舍、食堂及相关配套，进一步加快开发区教育事业发展，完善城市综合服务功能。一贯制学校（三期）、彩南、西黑山幼儿园、准东现代产业学院一批教育事业项目在2023年也相继完成前期工作。</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（四）生态环境持续改善</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2023年，提请党工委召开环委会专题会议研究生态环保工作4次、委务会听取工作汇报3次。修订《新疆准东经济技术开发区有关部门生态环境保护责任清单》，持续压紧压实各单位生态环境保护责任。成立党工委、管委会主要领导任双组长的大气污染防治工作领导小组，建立开发区行政区域、2个建制镇、8个产业园三级网格环境监管体系。相继印发一系列政策措施，建立起生态环境保护督察、污染防治攻坚战成效考核等长效工作机制，初步形成齐抓共管、齐头并进的生态环境治理格局。</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开发区严守生态保护红线、环境质量底线、资源利用上线等“硬约束”，为发展明底线、划边框。严把准入关口，严格环评审批管理，严防“两高一低”项目盲目发展，从源头控制减少污染物排放。不断增强生态环境质量改善的内生动力，开发区空气质量连续呈现向好态势，沙尘天数越来越少，重污染天数越来越少，优良天数越来越多，优良率达到80.8%，同比增加5.3%；PM2.5浓度36μg/m3，同比下降18.2%；PM10浓度80μg/m3，同比下降15.8%。2023年，空气质量数据实现了自有监测数据以来的最好水平，开发区也有了属于自己的“准东蓝”。准东饮用水及5000万方调蓄水库水质均保持优良，工业污水“不排放”，建设用地安全利用率、工业危险废物处置率均达到100%。</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（五）安全体系进一步筑牢</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牢固树立安全生产红线意识，压实党政领导、行业主管部门和企业三方责任，建立形成了“网格化”安全生产责任体系。以安全生产“五项措施”为抓手，建立了企业安全风险“一页、一册、一本”管控清单，完善特殊作业视频监控系统，整治煤炭、危化、房屋市政工程、消防等重点领域各类隐患4818项。在2个镇、3个重点企业设立安监站，百日攻坚排查整治重大事故隐患422项目，成立应急救援中心和矿山救援中队，组建危化、矿山、电力、自然灾害四个救援大队。</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（六）招商引资领域继续加强</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围绕六大主导产业建设，强力推动招商引资工作实现质效全面提升，全年共执行招商引资项目148个，实现到位资金403.38亿元，同比增长22.1%。实现进出口额同比增长220%、实际利用外资同比增长100%。一是强化系统思维，突出规划引领。完成33.94平方公里化工园区认定及498平方公里国土空间规划，矿区规划面积达3388平方公里，制定了《准东开发区链主企业扶持办法》，计划每年预算20亿元，对链主企业奖励扶持，出台了《准东开发区招商引资优惠暂行办法》，计划每年预算1亿元，扶持奖励中小企业，修订了《准东开发区“招才引智”实施办法》，从引才、育才、留才等方面进行支持。二是拓宽招商渠道，推行链主招商。完成《准东开发区煤制油气战略基地规划》，推进天池能源、龙宇能源、四川其亚等8个总投资2380亿元、规模360亿立方米煤制气项目前期工作。推动总投资388亿元山能化工、东明塑胶各80万吨煤制烯烃项目完成环评审批。加快心连心总投资331亿元32万吨三聚氰胺、50万吨复合肥项目动工建设。推动宜化化工总投资25.75亿元8万吨三聚氰胺开工建设、国泰新华总投资10亿元10万吨BDO项目完成各项手续。围绕240万吨电解铝产能，推进凯隆30万吨铝制型材、皓粤30万吨高端铝型材等项目开工建设。引进青海力创6万吨铝杆、帅翼驰30万吨高端铝合金、中天科技10万吨铝杆等铝下游项目10个；盘活铝下游企业4家、产能27万吨，力争到2025年铝水合金化从30%提高到90%以上。到2025年，神火、东方希望两家企业铝液就地转化率达100%，其亚铝液转化率达90%。成立铝行业联盟，建立技术、标准、市场3个专委会，定期沟通交流，创新产品研发。楚能铝业通过科技创新，成功研发“5个9”高纯铝，填补疆内空白。东南铝业通过技术改造，将6系铝棒产品升级为8系，提升高端铝材市场竞争力。建成其亚10万吨/年多晶硅、新特10万吨/年多晶硅项目，形成工业硅65万吨、多晶硅57万吨、单晶硅切片1.8GW产能规模，4家多晶硅链主企业产能占新疆1/2、全国1/3、世界1/4，延伸切片、电池片、光伏组件产业链，对接落实澳雅合金5GW单晶拉棒切片及组件、中陕核40万吨有机硅、滨博7万吨单晶硅、亚王5万吨多晶硅、海天水务切片组件项目和晶澳、天合光能等硅基项目10个，推动硅基产业迈向高端。三是创新招商方式，推动项目落地。通过驻点招商、推介招商、外出招商等方式，主要领导带队外出招商8次，对接蜀道集团、山能集团等56家企业，围绕创新链布局产业链，创建孵化器、众创空间两个自治区级创新平台，目前入驻企业131家。建立招商引资项目库，分级分类精准落实到人。今年以来，落实跟踪对接项目175个，总投资9199亿元。签约项目10个，总投资1730亿元，充分利用科研院所、高校资源，对接山西煤化所、大连化物所、中国矿大等高校和科研院所6家，为产业发展提供智力保障。积极参加各类国际性展会，开展招商推介7次，拓宽信息渠道。参加商博会、投洽会、产业转移等展会，签约项目4个、总投资693亿元，对接企业40余家。组织宜化化工、多彩环保等企业赴中亚五国参展，协助宜化化工开通中欧班列，实现产品出口。</w:t>
      </w:r>
    </w:p>
    <w:p>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评价结论：</w:t>
      </w:r>
    </w:p>
    <w:p>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按照开发区部门整体支出绩效目标，2023年准东开发区本级支出年初预算共538614万元，实际执行300682万元，执行占比55.83%，执行率偏差原有主要有2022年税收收入较同期增加139.65%，导致2023年一般公共预算安排较为充足。所有指标内容于2023年12月31日基本完成，绩效目标总体完成率100%。</w:t>
      </w:r>
    </w:p>
    <w:p>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存在的主要问题及原因分析：</w:t>
      </w:r>
    </w:p>
    <w:p>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准东开发区预算绩效管理工作水平需进一步提升，绩效评价制度需不断健全，目前设置的指标体系设定较为简单，存在许多尚待改进之处。</w:t>
      </w:r>
    </w:p>
    <w:p>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改进措施和建议：</w:t>
      </w:r>
    </w:p>
    <w:p>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（一）完善管理体系</w:t>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准东开发区将结合工作实际，制定预算绩效管理的具体实施细则，规范绩效目标、绩效监控、绩效评价、结果应用等各项管理流程，增强可操作性，确保预算绩效管理与预算编制、执行、监督的有效衔接。</w:t>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（二）开展绩效运行跟踪全过程管理</w:t>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将预算绩效运行工作融入日常预算管理工作中，建立起以单位领导和财务监督检查为手段、以规范约束绩效运行为目的跟踪监控机制，对不能按要求履行预算绩效管理职责、财政支出绩效达不到预定目标的部门预算单位及其责任人员实行绩效问责。</w:t>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（三）加强预算管理，提高预算科学性</w:t>
      </w:r>
      <w:r>
        <w:rPr>
          <w:rFonts w:hint="eastAsia" w:ascii="仿宋_GB2312" w:hAnsi="宋体" w:eastAsia="仿宋_GB2312"/>
          <w:bCs/>
          <w:sz w:val="32"/>
          <w:szCs w:val="32"/>
        </w:rPr>
        <w:br w:type="textWrapping"/>
      </w:r>
      <w:r>
        <w:rPr>
          <w:rFonts w:hint="eastAsia" w:ascii="仿宋_GB2312" w:hAnsi="宋体" w:eastAsia="仿宋_GB2312"/>
          <w:bCs/>
          <w:sz w:val="32"/>
          <w:szCs w:val="32"/>
        </w:rPr>
        <w:t>预算编制前根据年度内单位可预见的工作任务，确定单位年度预算目标，细化预算指标，科学合理编制部门预算。加强预算执行管理，年度预算编制后，根据实际情况，定期做好预算执行分析，掌握预算执行进度，及时找出预算实际执行情况与预算目标之间存在的差异，采取有效措施纠正偏差，提高预算执行的时效性和均衡性，同时为下一次科学、准确地编制部门预算积累经验。加大监管力度，把预算执行工作抓紧抓好抓落实，达到提高财政资金使用效益的目的。</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03BB8"/>
    <w:multiLevelType w:val="multilevel"/>
    <w:tmpl w:val="69703BB8"/>
    <w:lvl w:ilvl="0" w:tentative="0">
      <w:start w:val="1"/>
      <w:numFmt w:val="japaneseCounting"/>
      <w:lvlText w:val="%1、"/>
      <w:lvlJc w:val="left"/>
      <w:pPr>
        <w:ind w:left="1368" w:hanging="720"/>
      </w:pPr>
      <w:rPr>
        <w:rFonts w:hint="default"/>
      </w:rPr>
    </w:lvl>
    <w:lvl w:ilvl="1" w:tentative="0">
      <w:start w:val="1"/>
      <w:numFmt w:val="lowerLetter"/>
      <w:lvlText w:val="%2)"/>
      <w:lvlJc w:val="left"/>
      <w:pPr>
        <w:ind w:left="1488" w:hanging="420"/>
      </w:p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wZmYzMDUwNzhmYmVmMzNlY2I1MjAwNzI2NzY5MDUifQ=="/>
  </w:docVars>
  <w:rsids>
    <w:rsidRoot w:val="00EB3604"/>
    <w:rsid w:val="00021B05"/>
    <w:rsid w:val="000B791B"/>
    <w:rsid w:val="001C7F2C"/>
    <w:rsid w:val="00340E58"/>
    <w:rsid w:val="003E45AA"/>
    <w:rsid w:val="00486CD9"/>
    <w:rsid w:val="00584481"/>
    <w:rsid w:val="00653C1A"/>
    <w:rsid w:val="0072543F"/>
    <w:rsid w:val="007A5D83"/>
    <w:rsid w:val="007A798C"/>
    <w:rsid w:val="007B51CE"/>
    <w:rsid w:val="007D7702"/>
    <w:rsid w:val="007E47F4"/>
    <w:rsid w:val="007F0F7C"/>
    <w:rsid w:val="00892E0B"/>
    <w:rsid w:val="008F0DCE"/>
    <w:rsid w:val="00916058"/>
    <w:rsid w:val="00AB72C1"/>
    <w:rsid w:val="00C10BB4"/>
    <w:rsid w:val="00CE0C6C"/>
    <w:rsid w:val="00DB647F"/>
    <w:rsid w:val="00DC7E33"/>
    <w:rsid w:val="00E40ABD"/>
    <w:rsid w:val="00E8616A"/>
    <w:rsid w:val="00EB3604"/>
    <w:rsid w:val="020B07BA"/>
    <w:rsid w:val="02656D15"/>
    <w:rsid w:val="06696209"/>
    <w:rsid w:val="0D1922F1"/>
    <w:rsid w:val="10DF6E84"/>
    <w:rsid w:val="1438599A"/>
    <w:rsid w:val="1C8A3979"/>
    <w:rsid w:val="200F4073"/>
    <w:rsid w:val="24B86128"/>
    <w:rsid w:val="51C70EA9"/>
    <w:rsid w:val="54F842B6"/>
    <w:rsid w:val="64F5745B"/>
    <w:rsid w:val="656071F2"/>
    <w:rsid w:val="6BF1756B"/>
    <w:rsid w:val="6F5E1AA3"/>
    <w:rsid w:val="7F200B83"/>
    <w:rsid w:val="7F5D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Words>
  <Characters>328</Characters>
  <Lines>2</Lines>
  <Paragraphs>1</Paragraphs>
  <TotalTime>11</TotalTime>
  <ScaleCrop>false</ScaleCrop>
  <LinksUpToDate>false</LinksUpToDate>
  <CharactersWithSpaces>384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2020-06-04T05:22:00Z</dcterms:created>
  <dc:creator>hongbing liu</dc:creator>
  <cp:lastModifiedBy>Administrator</cp:lastModifiedBy>
  <dcterms:modified xsi:type="dcterms:W3CDTF">2025-05-06T11:42:46Z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4E2A216151A24EE5A190066F518526B7</vt:lpwstr>
  </property>
</Properties>
</file>