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9B9BF">
      <w:pPr>
        <w:pStyle w:val="20"/>
        <w:spacing w:line="560" w:lineRule="exact"/>
        <w:jc w:val="both"/>
        <w:rPr>
          <w:rFonts w:hint="eastAsia" w:cs="仿宋_GB2312"/>
          <w:color w:val="auto"/>
          <w:sz w:val="32"/>
          <w:szCs w:val="32"/>
          <w:highlight w:val="none"/>
        </w:rPr>
      </w:pPr>
      <w:bookmarkStart w:id="0" w:name="OLE_LINK9"/>
      <w:bookmarkStart w:id="1" w:name="OLE_LINK1"/>
    </w:p>
    <w:p w14:paraId="1CBBB787">
      <w:pPr>
        <w:autoSpaceDE/>
        <w:spacing w:line="560" w:lineRule="exact"/>
        <w:ind w:firstLine="640" w:firstLineChars="200"/>
        <w:jc w:val="righ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新准环</w:t>
      </w:r>
      <w:r>
        <w:rPr>
          <w:rFonts w:hint="eastAsia" w:ascii="楷体_GB2312" w:hAnsi="楷体_GB2312" w:eastAsia="楷体_GB2312" w:cs="楷体_GB2312"/>
          <w:sz w:val="32"/>
          <w:szCs w:val="32"/>
          <w:highlight w:val="none"/>
          <w:lang w:val="en-US" w:eastAsia="zh-CN"/>
        </w:rPr>
        <w:t>审</w:t>
      </w:r>
      <w:r>
        <w:rPr>
          <w:rFonts w:hint="eastAsia" w:ascii="楷体_GB2312" w:hAnsi="楷体_GB2312" w:eastAsia="楷体_GB2312" w:cs="楷体_GB2312"/>
          <w:sz w:val="32"/>
          <w:szCs w:val="32"/>
          <w:highlight w:val="none"/>
        </w:rPr>
        <w:t>〔202</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19</w:t>
      </w:r>
      <w:r>
        <w:rPr>
          <w:rFonts w:hint="eastAsia" w:ascii="楷体_GB2312" w:hAnsi="楷体_GB2312" w:eastAsia="楷体_GB2312" w:cs="楷体_GB2312"/>
          <w:sz w:val="32"/>
          <w:szCs w:val="32"/>
          <w:highlight w:val="none"/>
        </w:rPr>
        <w:t>号</w:t>
      </w:r>
    </w:p>
    <w:p w14:paraId="06EB2C5A">
      <w:pPr>
        <w:pStyle w:val="5"/>
        <w:keepNext w:val="0"/>
        <w:keepLines w:val="0"/>
        <w:pageBreakBefore w:val="0"/>
        <w:widowControl w:val="0"/>
        <w:kinsoku/>
        <w:wordWrap/>
        <w:overflowPunct/>
        <w:topLinePunct w:val="0"/>
        <w:autoSpaceDE w:val="0"/>
        <w:bidi w:val="0"/>
        <w:snapToGrid/>
        <w:ind w:left="0" w:leftChars="0" w:firstLine="0" w:firstLineChars="0"/>
        <w:textAlignment w:val="auto"/>
      </w:pPr>
    </w:p>
    <w:p w14:paraId="6D9E437D">
      <w:pPr>
        <w:keepNext w:val="0"/>
        <w:keepLines w:val="0"/>
        <w:pageBreakBefore w:val="0"/>
        <w:kinsoku/>
        <w:wordWrap/>
        <w:overflowPunct/>
        <w:topLinePunct w:val="0"/>
        <w:autoSpaceDE w:val="0"/>
        <w:autoSpaceDN w:val="0"/>
        <w:bidi w:val="0"/>
        <w:adjustRightInd w:val="0"/>
        <w:spacing w:line="550" w:lineRule="exact"/>
        <w:jc w:val="center"/>
        <w:rPr>
          <w:rFonts w:eastAsia="方正小标宋简体"/>
          <w:color w:val="auto"/>
          <w:sz w:val="44"/>
          <w:szCs w:val="44"/>
          <w:highlight w:val="none"/>
          <w:u w:val="none"/>
        </w:rPr>
      </w:pPr>
      <w:r>
        <w:rPr>
          <w:rFonts w:hint="eastAsia" w:eastAsia="方正小标宋简体"/>
          <w:color w:val="auto"/>
          <w:sz w:val="44"/>
          <w:szCs w:val="44"/>
          <w:highlight w:val="none"/>
          <w:u w:val="none"/>
        </w:rPr>
        <w:t>关于《</w:t>
      </w:r>
      <w:r>
        <w:rPr>
          <w:rFonts w:hint="eastAsia" w:eastAsia="方正小标宋简体"/>
          <w:b w:val="0"/>
          <w:bCs w:val="0"/>
          <w:color w:val="auto"/>
          <w:sz w:val="44"/>
          <w:szCs w:val="44"/>
          <w:highlight w:val="none"/>
          <w:u w:val="none"/>
          <w:lang w:eastAsia="zh-CN"/>
        </w:rPr>
        <w:t>准东</w:t>
      </w:r>
      <w:r>
        <w:rPr>
          <w:rFonts w:hint="eastAsia" w:eastAsia="方正小标宋简体"/>
          <w:b/>
          <w:bCs/>
          <w:color w:val="auto"/>
          <w:sz w:val="44"/>
          <w:szCs w:val="44"/>
          <w:highlight w:val="none"/>
          <w:u w:val="none"/>
          <w:lang w:eastAsia="zh-CN"/>
        </w:rPr>
        <w:t>开发区芨芨湖</w:t>
      </w:r>
      <w:r>
        <w:rPr>
          <w:rFonts w:hint="eastAsia" w:eastAsia="方正小标宋简体"/>
          <w:b w:val="0"/>
          <w:bCs w:val="0"/>
          <w:color w:val="auto"/>
          <w:sz w:val="44"/>
          <w:szCs w:val="44"/>
          <w:highlight w:val="none"/>
          <w:u w:val="none"/>
          <w:lang w:eastAsia="zh-CN"/>
        </w:rPr>
        <w:t>医院建设项目环境影响报告表</w:t>
      </w:r>
      <w:r>
        <w:rPr>
          <w:rFonts w:hint="eastAsia" w:eastAsia="方正小标宋简体"/>
          <w:color w:val="auto"/>
          <w:sz w:val="44"/>
          <w:szCs w:val="44"/>
          <w:highlight w:val="none"/>
          <w:u w:val="none"/>
        </w:rPr>
        <w:t>》的批复</w:t>
      </w:r>
    </w:p>
    <w:p w14:paraId="6EF1783B">
      <w:pPr>
        <w:keepNext w:val="0"/>
        <w:keepLines w:val="0"/>
        <w:pageBreakBefore w:val="0"/>
        <w:kinsoku/>
        <w:wordWrap/>
        <w:overflowPunct/>
        <w:topLinePunct w:val="0"/>
        <w:autoSpaceDE w:val="0"/>
        <w:autoSpaceDN w:val="0"/>
        <w:bidi w:val="0"/>
        <w:adjustRightInd w:val="0"/>
        <w:spacing w:line="550" w:lineRule="exact"/>
        <w:ind w:firstLine="640" w:firstLineChars="200"/>
        <w:rPr>
          <w:rFonts w:ascii="仿宋_GB2312" w:hAnsi="仿宋_GB2312" w:eastAsia="仿宋_GB2312" w:cs="仿宋_GB2312"/>
          <w:color w:val="auto"/>
          <w:sz w:val="32"/>
          <w:szCs w:val="32"/>
          <w:highlight w:val="none"/>
          <w:u w:val="none"/>
        </w:rPr>
      </w:pPr>
    </w:p>
    <w:bookmarkEnd w:id="0"/>
    <w:bookmarkEnd w:id="1"/>
    <w:p w14:paraId="347D8475">
      <w:pPr>
        <w:keepNext w:val="0"/>
        <w:keepLines w:val="0"/>
        <w:pageBreakBefore w:val="0"/>
        <w:kinsoku/>
        <w:wordWrap/>
        <w:overflowPunct/>
        <w:topLinePunct w:val="0"/>
        <w:bidi w:val="0"/>
        <w:spacing w:line="55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新疆准东经济技术开发区工程建设项目管理中心：</w:t>
      </w:r>
    </w:p>
    <w:p w14:paraId="3E5EE1DF">
      <w:pPr>
        <w:keepNext w:val="0"/>
        <w:keepLines w:val="0"/>
        <w:pageBreakBefore w:val="0"/>
        <w:numPr>
          <w:ilvl w:val="0"/>
          <w:numId w:val="0"/>
        </w:numPr>
        <w:kinsoku/>
        <w:wordWrap/>
        <w:overflowPunct/>
        <w:topLinePunct w:val="0"/>
        <w:bidi w:val="0"/>
        <w:spacing w:line="55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你单位委托新疆昊科工程规划设计有限公司编制的《准东开发区彩中消防站实训基地电力迁改工程环境影响报告表》及申请材料收悉。经研究，现批复如下：</w:t>
      </w:r>
    </w:p>
    <w:p w14:paraId="7B601A66">
      <w:pPr>
        <w:keepNext w:val="0"/>
        <w:keepLines w:val="0"/>
        <w:pageBreakBefore w:val="0"/>
        <w:numPr>
          <w:ilvl w:val="0"/>
          <w:numId w:val="3"/>
        </w:numPr>
        <w:kinsoku/>
        <w:wordWrap/>
        <w:overflowPunct/>
        <w:topLinePunct w:val="0"/>
        <w:bidi w:val="0"/>
        <w:spacing w:line="55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eastAsia="仿宋_GB2312"/>
          <w:color w:val="auto"/>
          <w:sz w:val="32"/>
          <w:szCs w:val="32"/>
          <w:highlight w:val="none"/>
          <w:u w:val="none"/>
        </w:rPr>
        <w:t>项目位</w:t>
      </w:r>
      <w:r>
        <w:rPr>
          <w:rFonts w:hint="default" w:ascii="Times New Roman" w:hAnsi="Times New Roman" w:eastAsia="仿宋_GB2312" w:cs="Times New Roman"/>
          <w:color w:val="auto"/>
          <w:sz w:val="32"/>
          <w:szCs w:val="32"/>
          <w:highlight w:val="none"/>
          <w:u w:val="none"/>
        </w:rPr>
        <w:t>于新疆准东经济技术开发区</w:t>
      </w:r>
      <w:r>
        <w:rPr>
          <w:rFonts w:hint="eastAsia" w:ascii="Times New Roman" w:hAnsi="Times New Roman" w:eastAsia="仿宋_GB2312" w:cs="Times New Roman"/>
          <w:color w:val="auto"/>
          <w:sz w:val="32"/>
          <w:szCs w:val="32"/>
          <w:highlight w:val="none"/>
          <w:u w:val="none"/>
        </w:rPr>
        <w:t>准东经济技术开发区</w:t>
      </w:r>
      <w:r>
        <w:rPr>
          <w:rFonts w:hint="eastAsia" w:eastAsia="仿宋_GB2312" w:cs="Times New Roman"/>
          <w:color w:val="auto"/>
          <w:sz w:val="32"/>
          <w:szCs w:val="32"/>
          <w:highlight w:val="none"/>
          <w:u w:val="none"/>
          <w:lang w:val="en-US" w:eastAsia="zh-CN"/>
        </w:rPr>
        <w:t>东部产业园区</w:t>
      </w:r>
      <w:r>
        <w:rPr>
          <w:rFonts w:hint="eastAsia" w:ascii="Times New Roman" w:hAnsi="Times New Roman" w:eastAsia="仿宋_GB2312" w:cs="Times New Roman"/>
          <w:color w:val="auto"/>
          <w:sz w:val="32"/>
          <w:szCs w:val="32"/>
          <w:highlight w:val="none"/>
          <w:u w:val="none"/>
        </w:rPr>
        <w:t>芨芨湖</w:t>
      </w:r>
      <w:r>
        <w:rPr>
          <w:rFonts w:hint="eastAsia" w:ascii="Times New Roman" w:hAnsi="Times New Roman" w:eastAsia="仿宋_GB2312" w:cs="Times New Roman"/>
          <w:color w:val="auto"/>
          <w:sz w:val="32"/>
          <w:szCs w:val="32"/>
          <w:highlight w:val="none"/>
          <w:u w:val="none"/>
          <w:lang w:val="en-US" w:eastAsia="zh-CN"/>
        </w:rPr>
        <w:t>新城</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项目为新建，本项目规划总用地面积为50381</w:t>
      </w:r>
      <w:r>
        <w:rPr>
          <w:rFonts w:hint="eastAsia" w:ascii="Times New Roman" w:hAnsi="Times New Roman" w:eastAsia="仿宋_GB2312" w:cs="Times New Roman"/>
          <w:color w:val="auto"/>
          <w:sz w:val="32"/>
          <w:szCs w:val="32"/>
          <w:highlight w:val="none"/>
          <w:u w:val="none"/>
          <w:lang w:val="en-US" w:eastAsia="zh-CN"/>
        </w:rPr>
        <w:t>m</w:t>
      </w:r>
      <w:r>
        <w:rPr>
          <w:rFonts w:hint="eastAsia" w:ascii="Times New Roman" w:hAnsi="Times New Roman" w:eastAsia="仿宋_GB2312" w:cs="Times New Roman"/>
          <w:color w:val="auto"/>
          <w:sz w:val="32"/>
          <w:szCs w:val="32"/>
          <w:highlight w:val="none"/>
          <w:u w:val="none"/>
          <w:vertAlign w:val="superscript"/>
          <w:lang w:val="en-US" w:eastAsia="zh-CN"/>
        </w:rPr>
        <w:t>2</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按二级综合医院建设标准建设，规划床位200张</w:t>
      </w:r>
      <w:r>
        <w:rPr>
          <w:rFonts w:hint="eastAsia" w:ascii="Times New Roman" w:hAnsi="Times New Roman" w:eastAsia="仿宋_GB2312" w:cs="Times New Roman"/>
          <w:color w:val="auto"/>
          <w:sz w:val="32"/>
          <w:szCs w:val="32"/>
          <w:highlight w:val="none"/>
          <w:u w:val="none"/>
          <w:lang w:eastAsia="zh-CN"/>
        </w:rPr>
        <w:t>，医务人员280人</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主要建设</w:t>
      </w:r>
      <w:r>
        <w:rPr>
          <w:rFonts w:hint="eastAsia" w:ascii="Times New Roman" w:hAnsi="Times New Roman" w:eastAsia="仿宋_GB2312" w:cs="Times New Roman"/>
          <w:color w:val="auto"/>
          <w:sz w:val="32"/>
          <w:szCs w:val="32"/>
          <w:highlight w:val="none"/>
          <w:u w:val="none"/>
          <w:lang w:val="en-US" w:eastAsia="zh-CN"/>
        </w:rPr>
        <w:t>内容包括：</w:t>
      </w:r>
    </w:p>
    <w:p w14:paraId="1AD09235">
      <w:pPr>
        <w:keepNext w:val="0"/>
        <w:keepLines w:val="0"/>
        <w:pageBreakBefore w:val="0"/>
        <w:numPr>
          <w:ilvl w:val="0"/>
          <w:numId w:val="0"/>
        </w:numPr>
        <w:kinsoku/>
        <w:wordWrap/>
        <w:overflowPunct/>
        <w:topLinePunct w:val="0"/>
        <w:bidi w:val="0"/>
        <w:spacing w:line="55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eastAsia" w:eastAsia="仿宋_GB2312"/>
          <w:color w:val="auto"/>
          <w:sz w:val="32"/>
          <w:szCs w:val="32"/>
          <w:highlight w:val="none"/>
          <w:u w:val="none"/>
          <w:lang w:val="en-US" w:eastAsia="zh-CN"/>
        </w:rPr>
        <w:t>主体工程：门诊医技</w:t>
      </w:r>
      <w:r>
        <w:rPr>
          <w:rFonts w:hint="default" w:eastAsia="仿宋_GB2312"/>
          <w:color w:val="auto"/>
          <w:sz w:val="32"/>
          <w:szCs w:val="32"/>
          <w:highlight w:val="none"/>
          <w:u w:val="none"/>
        </w:rPr>
        <w:t>综合楼、</w:t>
      </w:r>
      <w:r>
        <w:rPr>
          <w:rFonts w:hint="eastAsia" w:eastAsia="仿宋_GB2312"/>
          <w:color w:val="auto"/>
          <w:sz w:val="32"/>
          <w:szCs w:val="32"/>
          <w:highlight w:val="none"/>
          <w:u w:val="none"/>
          <w:lang w:val="en-US" w:eastAsia="zh-CN"/>
        </w:rPr>
        <w:t>病房</w:t>
      </w:r>
      <w:r>
        <w:rPr>
          <w:rFonts w:hint="default" w:eastAsia="仿宋_GB2312"/>
          <w:color w:val="auto"/>
          <w:sz w:val="32"/>
          <w:szCs w:val="32"/>
          <w:highlight w:val="none"/>
          <w:u w:val="none"/>
        </w:rPr>
        <w:t>综合楼、发热</w:t>
      </w:r>
      <w:r>
        <w:rPr>
          <w:rFonts w:hint="eastAsia" w:eastAsia="仿宋_GB2312"/>
          <w:color w:val="auto"/>
          <w:sz w:val="32"/>
          <w:szCs w:val="32"/>
          <w:highlight w:val="none"/>
          <w:u w:val="none"/>
          <w:lang w:val="en-US" w:eastAsia="zh-CN"/>
        </w:rPr>
        <w:t>感染楼</w:t>
      </w:r>
      <w:r>
        <w:rPr>
          <w:rFonts w:hint="eastAsia" w:eastAsia="仿宋_GB2312"/>
          <w:color w:val="auto"/>
          <w:sz w:val="32"/>
          <w:szCs w:val="32"/>
          <w:highlight w:val="none"/>
          <w:u w:val="none"/>
          <w:lang w:eastAsia="zh-CN"/>
        </w:rPr>
        <w:t>。</w:t>
      </w:r>
    </w:p>
    <w:p w14:paraId="34E2CBE2">
      <w:pPr>
        <w:keepNext w:val="0"/>
        <w:keepLines w:val="0"/>
        <w:pageBreakBefore w:val="0"/>
        <w:numPr>
          <w:ilvl w:val="0"/>
          <w:numId w:val="0"/>
        </w:numPr>
        <w:kinsoku/>
        <w:wordWrap/>
        <w:overflowPunct/>
        <w:topLinePunct w:val="0"/>
        <w:bidi w:val="0"/>
        <w:spacing w:line="55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eastAsia" w:eastAsia="仿宋_GB2312"/>
          <w:color w:val="auto"/>
          <w:sz w:val="32"/>
          <w:szCs w:val="32"/>
          <w:highlight w:val="none"/>
          <w:u w:val="none"/>
          <w:lang w:val="en-US" w:eastAsia="zh-CN"/>
        </w:rPr>
        <w:t>辅助工程：</w:t>
      </w:r>
      <w:r>
        <w:rPr>
          <w:rFonts w:hint="default" w:eastAsia="仿宋_GB2312"/>
          <w:color w:val="auto"/>
          <w:sz w:val="32"/>
          <w:szCs w:val="32"/>
          <w:highlight w:val="none"/>
          <w:u w:val="none"/>
        </w:rPr>
        <w:t>配套建设后勤综合楼、门卫、</w:t>
      </w:r>
      <w:r>
        <w:rPr>
          <w:rFonts w:hint="eastAsia" w:eastAsia="仿宋_GB2312"/>
          <w:color w:val="auto"/>
          <w:sz w:val="32"/>
          <w:szCs w:val="32"/>
          <w:highlight w:val="none"/>
          <w:u w:val="none"/>
          <w:lang w:val="en-US" w:eastAsia="zh-CN"/>
        </w:rPr>
        <w:t>地库</w:t>
      </w:r>
      <w:r>
        <w:rPr>
          <w:rFonts w:hint="default" w:eastAsia="仿宋_GB2312"/>
          <w:color w:val="auto"/>
          <w:sz w:val="32"/>
          <w:szCs w:val="32"/>
          <w:highlight w:val="none"/>
          <w:u w:val="none"/>
        </w:rPr>
        <w:t>等辅助用房等设施</w:t>
      </w:r>
      <w:r>
        <w:rPr>
          <w:rFonts w:hint="eastAsia" w:eastAsia="仿宋_GB2312"/>
          <w:color w:val="auto"/>
          <w:sz w:val="32"/>
          <w:szCs w:val="32"/>
          <w:highlight w:val="none"/>
          <w:u w:val="none"/>
          <w:lang w:eastAsia="zh-CN"/>
        </w:rPr>
        <w:t>。</w:t>
      </w:r>
    </w:p>
    <w:p w14:paraId="1FBCF04A">
      <w:pPr>
        <w:keepNext w:val="0"/>
        <w:keepLines w:val="0"/>
        <w:pageBreakBefore w:val="0"/>
        <w:numPr>
          <w:ilvl w:val="0"/>
          <w:numId w:val="0"/>
        </w:numPr>
        <w:kinsoku/>
        <w:wordWrap/>
        <w:overflowPunct/>
        <w:topLinePunct w:val="0"/>
        <w:bidi w:val="0"/>
        <w:spacing w:line="55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eastAsia" w:eastAsia="仿宋_GB2312"/>
          <w:color w:val="auto"/>
          <w:sz w:val="32"/>
          <w:szCs w:val="32"/>
          <w:highlight w:val="none"/>
          <w:u w:val="none"/>
          <w:lang w:val="en-US" w:eastAsia="zh-CN"/>
        </w:rPr>
        <w:t>环保工程：处理规模为250m</w:t>
      </w:r>
      <w:r>
        <w:rPr>
          <w:rFonts w:hint="default" w:ascii="Times New Roman" w:hAnsi="Times New Roman" w:eastAsia="仿宋_GB2312" w:cs="Times New Roman"/>
          <w:color w:val="auto"/>
          <w:sz w:val="32"/>
          <w:szCs w:val="32"/>
          <w:highlight w:val="none"/>
          <w:u w:val="none"/>
          <w:lang w:val="en-US" w:eastAsia="zh-CN"/>
        </w:rPr>
        <w:t>³</w:t>
      </w:r>
      <w:r>
        <w:rPr>
          <w:rFonts w:hint="eastAsia" w:eastAsia="仿宋_GB2312"/>
          <w:color w:val="auto"/>
          <w:sz w:val="32"/>
          <w:szCs w:val="32"/>
          <w:highlight w:val="none"/>
          <w:u w:val="none"/>
          <w:lang w:val="en-US" w:eastAsia="zh-CN"/>
        </w:rPr>
        <w:t>/d地埋式污水处理站、污水处理站配</w:t>
      </w:r>
      <w:r>
        <w:rPr>
          <w:rFonts w:hint="eastAsia" w:ascii="Times New Roman" w:hAnsi="Times New Roman" w:eastAsia="仿宋_GB2312" w:cs="Times New Roman"/>
          <w:color w:val="auto"/>
          <w:sz w:val="32"/>
          <w:szCs w:val="32"/>
          <w:highlight w:val="none"/>
          <w:u w:val="none"/>
          <w:lang w:val="en-US" w:eastAsia="zh-CN"/>
        </w:rPr>
        <w:t>套建设一套活性炭吸附废气处理系统、</w:t>
      </w:r>
      <w:r>
        <w:rPr>
          <w:rFonts w:hint="eastAsia" w:eastAsia="仿宋_GB2312" w:cs="Times New Roman"/>
          <w:color w:val="auto"/>
          <w:sz w:val="32"/>
          <w:szCs w:val="32"/>
          <w:highlight w:val="none"/>
          <w:u w:val="none"/>
          <w:lang w:val="en-US" w:eastAsia="zh-CN"/>
        </w:rPr>
        <w:t>一根15m高排气筒、</w:t>
      </w:r>
      <w:r>
        <w:rPr>
          <w:rFonts w:hint="eastAsia" w:ascii="Times New Roman" w:hAnsi="Times New Roman" w:eastAsia="仿宋_GB2312" w:cs="Times New Roman"/>
          <w:color w:val="auto"/>
          <w:sz w:val="32"/>
          <w:szCs w:val="32"/>
          <w:highlight w:val="none"/>
          <w:u w:val="none"/>
          <w:lang w:val="en-US" w:eastAsia="zh-CN"/>
        </w:rPr>
        <w:t>食堂废水隔油沉淀池、</w:t>
      </w:r>
      <w:r>
        <w:rPr>
          <w:rFonts w:hint="eastAsia" w:eastAsia="仿宋_GB2312" w:cs="Times New Roman"/>
          <w:color w:val="auto"/>
          <w:sz w:val="32"/>
          <w:szCs w:val="32"/>
          <w:highlight w:val="none"/>
          <w:u w:val="none"/>
          <w:lang w:val="en-US" w:eastAsia="zh-CN"/>
        </w:rPr>
        <w:t>80</w:t>
      </w:r>
      <w:r>
        <w:rPr>
          <w:rFonts w:hint="eastAsia" w:ascii="Times New Roman" w:hAnsi="Times New Roman" w:eastAsia="仿宋_GB2312" w:cs="Times New Roman"/>
          <w:color w:val="auto"/>
          <w:sz w:val="32"/>
          <w:szCs w:val="32"/>
          <w:highlight w:val="none"/>
          <w:u w:val="none"/>
          <w:lang w:val="en-US" w:eastAsia="zh-CN"/>
        </w:rPr>
        <w:t>m</w:t>
      </w:r>
      <w:r>
        <w:rPr>
          <w:rFonts w:hint="eastAsia" w:ascii="Times New Roman" w:hAnsi="Times New Roman" w:eastAsia="仿宋_GB2312" w:cs="Times New Roman"/>
          <w:color w:val="auto"/>
          <w:sz w:val="32"/>
          <w:szCs w:val="32"/>
          <w:highlight w:val="none"/>
          <w:u w:val="none"/>
          <w:vertAlign w:val="superscript"/>
          <w:lang w:val="en-US" w:eastAsia="zh-CN"/>
        </w:rPr>
        <w:t>2</w:t>
      </w:r>
      <w:r>
        <w:rPr>
          <w:rFonts w:hint="eastAsia" w:ascii="Times New Roman" w:hAnsi="Times New Roman" w:eastAsia="仿宋_GB2312" w:cs="Times New Roman"/>
          <w:color w:val="auto"/>
          <w:sz w:val="32"/>
          <w:szCs w:val="32"/>
          <w:highlight w:val="none"/>
          <w:u w:val="none"/>
          <w:lang w:val="en-US" w:eastAsia="zh-CN"/>
        </w:rPr>
        <w:t>医疗废物暂存间</w:t>
      </w:r>
      <w:r>
        <w:rPr>
          <w:rFonts w:hint="default" w:ascii="Times New Roman" w:hAnsi="Times New Roman" w:eastAsia="仿宋_GB2312" w:cs="Times New Roman"/>
          <w:color w:val="auto"/>
          <w:sz w:val="32"/>
          <w:szCs w:val="32"/>
          <w:highlight w:val="none"/>
          <w:u w:val="none"/>
          <w:lang w:val="en-US" w:eastAsia="zh-CN"/>
        </w:rPr>
        <w:t>、生活垃圾</w:t>
      </w:r>
      <w:r>
        <w:rPr>
          <w:rFonts w:hint="eastAsia" w:ascii="Times New Roman" w:hAnsi="Times New Roman" w:eastAsia="仿宋_GB2312" w:cs="Times New Roman"/>
          <w:color w:val="auto"/>
          <w:sz w:val="32"/>
          <w:szCs w:val="32"/>
          <w:highlight w:val="none"/>
          <w:u w:val="none"/>
          <w:lang w:val="en-US" w:eastAsia="zh-CN"/>
        </w:rPr>
        <w:t>收集</w:t>
      </w:r>
      <w:r>
        <w:rPr>
          <w:rFonts w:hint="default" w:ascii="Times New Roman" w:hAnsi="Times New Roman" w:eastAsia="仿宋_GB2312" w:cs="Times New Roman"/>
          <w:color w:val="auto"/>
          <w:sz w:val="32"/>
          <w:szCs w:val="32"/>
          <w:highlight w:val="none"/>
          <w:u w:val="none"/>
          <w:lang w:val="en-US" w:eastAsia="zh-CN"/>
        </w:rPr>
        <w:t>站</w:t>
      </w:r>
      <w:r>
        <w:rPr>
          <w:rFonts w:hint="eastAsia" w:ascii="Times New Roman" w:hAnsi="Times New Roman" w:eastAsia="仿宋_GB2312" w:cs="Times New Roman"/>
          <w:color w:val="auto"/>
          <w:sz w:val="32"/>
          <w:szCs w:val="32"/>
          <w:highlight w:val="none"/>
          <w:u w:val="none"/>
          <w:lang w:val="en-US" w:eastAsia="zh-CN"/>
        </w:rPr>
        <w:t>等。</w:t>
      </w:r>
    </w:p>
    <w:p w14:paraId="15977B94">
      <w:pPr>
        <w:pStyle w:val="6"/>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二、我局原则同意你公司环境影响报告表中所列建设项目规模、工艺、地点和环境保护对策措施。</w:t>
      </w:r>
    </w:p>
    <w:p w14:paraId="0FFCE70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yellow"/>
          <w:u w:val="none"/>
          <w:lang w:val="en-US" w:eastAsia="zh-CN"/>
        </w:rPr>
      </w:pPr>
      <w:r>
        <w:rPr>
          <w:rFonts w:hint="eastAsia" w:ascii="仿宋_GB2312" w:hAnsi="仿宋_GB2312" w:eastAsia="仿宋_GB2312" w:cs="仿宋_GB2312"/>
          <w:color w:val="auto"/>
          <w:sz w:val="32"/>
          <w:szCs w:val="32"/>
          <w:highlight w:val="none"/>
          <w:u w:val="none"/>
          <w:lang w:val="en-US" w:eastAsia="zh-CN"/>
        </w:rPr>
        <w:t>三、项目建设和运行管理中应重点做好以下工作。</w:t>
      </w:r>
    </w:p>
    <w:p w14:paraId="301F3FB3">
      <w:pPr>
        <w:spacing w:line="560" w:lineRule="exact"/>
        <w:ind w:firstLine="640" w:firstLineChars="200"/>
        <w:rPr>
          <w:rFonts w:hint="eastAsia" w:eastAsia="仿宋_GB2312"/>
          <w:bCs/>
          <w:color w:val="auto"/>
          <w:sz w:val="32"/>
          <w:szCs w:val="32"/>
          <w:highlight w:val="none"/>
        </w:rPr>
      </w:pPr>
      <w:r>
        <w:rPr>
          <w:rFonts w:hint="eastAsia" w:eastAsia="仿宋_GB2312"/>
          <w:bCs/>
          <w:color w:val="auto"/>
          <w:sz w:val="32"/>
          <w:szCs w:val="32"/>
          <w:highlight w:val="none"/>
        </w:rPr>
        <w:t>（一）</w:t>
      </w:r>
      <w:r>
        <w:rPr>
          <w:rFonts w:hint="eastAsia" w:ascii="仿宋_GB2312" w:hAnsi="仿宋_GB2312" w:eastAsia="仿宋_GB2312" w:cs="仿宋_GB2312"/>
          <w:color w:val="auto"/>
          <w:sz w:val="32"/>
          <w:szCs w:val="32"/>
          <w:highlight w:val="none"/>
          <w:u w:val="none"/>
          <w:lang w:val="en-US" w:eastAsia="zh-CN"/>
        </w:rPr>
        <w:t>严格落实施工期各项环保措施。</w:t>
      </w:r>
      <w:r>
        <w:rPr>
          <w:rFonts w:hint="eastAsia" w:eastAsia="仿宋_GB2312"/>
          <w:bCs/>
          <w:color w:val="auto"/>
          <w:sz w:val="32"/>
          <w:szCs w:val="32"/>
          <w:highlight w:val="none"/>
        </w:rPr>
        <w:t>制定施工期污染防治计划，加强施工期环境管理。采取有效措施，确保施工期扬尘、噪声等达标排放。可利用的建筑垃圾收集后进行再利用，不可再次利用的建筑垃圾集中收集后，由施工方统一清运至建筑垃圾填埋场。严格按照环境影响评价报告要求落实好各项污染防治措施。</w:t>
      </w:r>
    </w:p>
    <w:p w14:paraId="02B6A0A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eastAsia="仿宋_GB2312" w:cs="Times New Roman"/>
          <w:color w:val="auto"/>
          <w:sz w:val="32"/>
          <w:szCs w:val="32"/>
          <w:highlight w:val="none"/>
          <w:u w:val="none"/>
          <w:lang w:eastAsia="zh-CN"/>
        </w:rPr>
        <w:t>（二）严格落实大气污染防</w:t>
      </w:r>
      <w:r>
        <w:rPr>
          <w:rFonts w:hint="eastAsia" w:ascii="Times New Roman" w:hAnsi="Times New Roman" w:eastAsia="仿宋_GB2312" w:cs="Times New Roman"/>
          <w:color w:val="auto"/>
          <w:sz w:val="32"/>
          <w:szCs w:val="32"/>
          <w:highlight w:val="none"/>
          <w:u w:val="none"/>
          <w:lang w:eastAsia="zh-CN"/>
        </w:rPr>
        <w:t>治措施。运营期污水处理站废气采用活性炭吸附处理</w:t>
      </w:r>
      <w:r>
        <w:rPr>
          <w:rFonts w:hint="eastAsia" w:eastAsia="仿宋_GB2312" w:cs="Times New Roman"/>
          <w:color w:val="auto"/>
          <w:sz w:val="32"/>
          <w:szCs w:val="32"/>
          <w:highlight w:val="none"/>
          <w:u w:val="none"/>
          <w:lang w:eastAsia="zh-CN"/>
        </w:rPr>
        <w:t>达标后，</w:t>
      </w:r>
      <w:r>
        <w:rPr>
          <w:rFonts w:hint="eastAsia" w:ascii="Times New Roman" w:hAnsi="Times New Roman" w:eastAsia="仿宋_GB2312" w:cs="Times New Roman"/>
          <w:color w:val="auto"/>
          <w:sz w:val="32"/>
          <w:szCs w:val="32"/>
          <w:highlight w:val="none"/>
          <w:u w:val="none"/>
          <w:lang w:eastAsia="zh-CN"/>
        </w:rPr>
        <w:t>经15m高排气简排放</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废气中NH</w:t>
      </w:r>
      <w:r>
        <w:rPr>
          <w:rFonts w:hint="eastAsia" w:ascii="Times New Roman" w:hAnsi="Times New Roman" w:eastAsia="仿宋_GB2312" w:cs="Times New Roman"/>
          <w:color w:val="auto"/>
          <w:sz w:val="32"/>
          <w:szCs w:val="32"/>
          <w:highlight w:val="none"/>
          <w:u w:val="none"/>
          <w:vertAlign w:val="subscript"/>
          <w:lang w:eastAsia="zh-CN"/>
        </w:rPr>
        <w:t>3</w:t>
      </w:r>
      <w:r>
        <w:rPr>
          <w:rFonts w:hint="eastAsia" w:ascii="Times New Roman" w:hAnsi="Times New Roman" w:eastAsia="仿宋_GB2312" w:cs="Times New Roman"/>
          <w:color w:val="auto"/>
          <w:sz w:val="32"/>
          <w:szCs w:val="32"/>
          <w:highlight w:val="none"/>
          <w:u w:val="none"/>
          <w:lang w:eastAsia="zh-CN"/>
        </w:rPr>
        <w:t>、H</w:t>
      </w:r>
      <w:r>
        <w:rPr>
          <w:rFonts w:hint="eastAsia" w:eastAsia="仿宋_GB2312" w:cs="Times New Roman"/>
          <w:color w:val="auto"/>
          <w:sz w:val="32"/>
          <w:szCs w:val="32"/>
          <w:highlight w:val="none"/>
          <w:u w:val="none"/>
          <w:vertAlign w:val="subscript"/>
          <w:lang w:val="en-US" w:eastAsia="zh-CN"/>
        </w:rPr>
        <w:t>2</w:t>
      </w:r>
      <w:r>
        <w:rPr>
          <w:rFonts w:hint="eastAsia" w:ascii="Times New Roman" w:hAnsi="Times New Roman" w:eastAsia="仿宋_GB2312" w:cs="Times New Roman"/>
          <w:color w:val="auto"/>
          <w:sz w:val="32"/>
          <w:szCs w:val="32"/>
          <w:highlight w:val="none"/>
          <w:u w:val="none"/>
          <w:lang w:eastAsia="zh-CN"/>
        </w:rPr>
        <w:t>S</w:t>
      </w:r>
      <w:r>
        <w:rPr>
          <w:rFonts w:hint="eastAsia" w:eastAsia="仿宋_GB2312" w:cs="Times New Roman"/>
          <w:color w:val="auto"/>
          <w:sz w:val="32"/>
          <w:szCs w:val="32"/>
          <w:highlight w:val="none"/>
          <w:u w:val="none"/>
          <w:lang w:eastAsia="zh-CN"/>
        </w:rPr>
        <w:t>、臭气</w:t>
      </w:r>
      <w:r>
        <w:rPr>
          <w:rFonts w:hint="eastAsia" w:ascii="Times New Roman" w:hAnsi="Times New Roman" w:eastAsia="仿宋_GB2312" w:cs="Times New Roman"/>
          <w:color w:val="auto"/>
          <w:sz w:val="32"/>
          <w:szCs w:val="32"/>
          <w:highlight w:val="none"/>
          <w:u w:val="none"/>
          <w:lang w:eastAsia="zh-CN"/>
        </w:rPr>
        <w:t>排放浓度</w:t>
      </w:r>
      <w:r>
        <w:rPr>
          <w:rFonts w:hint="eastAsia" w:eastAsia="仿宋_GB2312" w:cs="Times New Roman"/>
          <w:color w:val="auto"/>
          <w:sz w:val="32"/>
          <w:szCs w:val="32"/>
          <w:highlight w:val="none"/>
          <w:u w:val="none"/>
          <w:lang w:eastAsia="zh-CN"/>
        </w:rPr>
        <w:t>需</w:t>
      </w:r>
      <w:r>
        <w:rPr>
          <w:rFonts w:hint="eastAsia" w:ascii="Times New Roman" w:hAnsi="Times New Roman" w:eastAsia="仿宋_GB2312" w:cs="Times New Roman"/>
          <w:color w:val="auto"/>
          <w:sz w:val="32"/>
          <w:szCs w:val="32"/>
          <w:highlight w:val="none"/>
          <w:u w:val="none"/>
          <w:lang w:eastAsia="zh-CN"/>
        </w:rPr>
        <w:t>满足《恶臭污染物排放标准》(GB14554-93)表2排放</w:t>
      </w:r>
      <w:r>
        <w:rPr>
          <w:rFonts w:hint="eastAsia" w:eastAsia="仿宋_GB2312" w:cs="Times New Roman"/>
          <w:color w:val="auto"/>
          <w:sz w:val="32"/>
          <w:szCs w:val="32"/>
          <w:highlight w:val="none"/>
          <w:u w:val="none"/>
          <w:lang w:eastAsia="zh-CN"/>
        </w:rPr>
        <w:t>限值。污水处理站周边大气污染物浓度限值满足《医疗机构水污染物排放标准》（GB18466-2005）表3限值要求。</w:t>
      </w:r>
    </w:p>
    <w:p w14:paraId="4BA327EB">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eastAsia="zh-CN"/>
        </w:rPr>
        <w:t>（三）严格落实水环境保护措施：运营期医院污水经污水处理站处理，污水处理站采用“格栅+调节池+A/O</w:t>
      </w:r>
      <w:r>
        <w:rPr>
          <w:rFonts w:hint="eastAsia" w:eastAsia="仿宋_GB2312" w:cs="Times New Roman"/>
          <w:color w:val="auto"/>
          <w:sz w:val="32"/>
          <w:szCs w:val="32"/>
          <w:highlight w:val="none"/>
          <w:u w:val="none"/>
          <w:lang w:val="en-US" w:eastAsia="zh-CN"/>
        </w:rPr>
        <w:t>接触氧化</w:t>
      </w:r>
      <w:r>
        <w:rPr>
          <w:rFonts w:hint="eastAsia" w:eastAsia="仿宋_GB2312" w:cs="Times New Roman"/>
          <w:color w:val="auto"/>
          <w:sz w:val="32"/>
          <w:szCs w:val="32"/>
          <w:highlight w:val="none"/>
          <w:u w:val="none"/>
          <w:lang w:eastAsia="zh-CN"/>
        </w:rPr>
        <w:t>+混凝沉淀池+消毒池”处理工艺</w:t>
      </w:r>
      <w:r>
        <w:rPr>
          <w:rFonts w:hint="eastAsia" w:eastAsia="仿宋_GB2312" w:cs="Times New Roman"/>
          <w:color w:val="auto"/>
          <w:sz w:val="32"/>
          <w:szCs w:val="32"/>
          <w:highlight w:val="none"/>
          <w:u w:val="none"/>
          <w:lang w:val="en-US" w:eastAsia="zh-CN"/>
        </w:rPr>
        <w:t>并</w:t>
      </w:r>
      <w:r>
        <w:rPr>
          <w:rFonts w:hint="eastAsia" w:eastAsia="仿宋_GB2312" w:cs="Times New Roman"/>
          <w:color w:val="auto"/>
          <w:sz w:val="32"/>
          <w:szCs w:val="32"/>
          <w:highlight w:val="none"/>
          <w:u w:val="none"/>
          <w:lang w:eastAsia="zh-CN"/>
        </w:rPr>
        <w:t>满足《医疗机构水污染物排放标准》(GB18466-2005)表2及《污水综合排放标准》(GB8978-1996)表4排放限值要求后，</w:t>
      </w:r>
      <w:r>
        <w:rPr>
          <w:rFonts w:hint="eastAsia" w:eastAsia="仿宋_GB2312" w:cs="Times New Roman"/>
          <w:color w:val="auto"/>
          <w:sz w:val="32"/>
          <w:szCs w:val="32"/>
          <w:highlight w:val="none"/>
          <w:u w:val="none"/>
          <w:lang w:val="en-US" w:eastAsia="zh-CN"/>
        </w:rPr>
        <w:t>进</w:t>
      </w:r>
      <w:r>
        <w:rPr>
          <w:rFonts w:hint="eastAsia" w:eastAsia="仿宋_GB2312" w:cs="Times New Roman"/>
          <w:color w:val="auto"/>
          <w:sz w:val="32"/>
          <w:szCs w:val="32"/>
          <w:highlight w:val="none"/>
          <w:u w:val="none"/>
          <w:lang w:eastAsia="zh-CN"/>
        </w:rPr>
        <w:t>入</w:t>
      </w:r>
      <w:r>
        <w:rPr>
          <w:rFonts w:hint="eastAsia" w:eastAsia="仿宋_GB2312" w:cs="Times New Roman"/>
          <w:color w:val="auto"/>
          <w:sz w:val="32"/>
          <w:szCs w:val="32"/>
          <w:highlight w:val="none"/>
          <w:u w:val="none"/>
          <w:lang w:val="en-US" w:eastAsia="zh-CN"/>
        </w:rPr>
        <w:t>芨芨湖镇污水处理厂处理。</w:t>
      </w:r>
    </w:p>
    <w:p w14:paraId="74C8BDAC">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eastAsia="仿宋_GB2312" w:cs="Times New Roman"/>
          <w:color w:val="auto"/>
          <w:sz w:val="32"/>
          <w:szCs w:val="32"/>
          <w:highlight w:val="none"/>
          <w:u w:val="none"/>
          <w:lang w:eastAsia="zh-CN"/>
        </w:rPr>
        <w:t>（四）严格落实固废环境保护措</w:t>
      </w:r>
      <w:r>
        <w:rPr>
          <w:rFonts w:hint="eastAsia" w:ascii="Times New Roman" w:hAnsi="Times New Roman" w:eastAsia="仿宋_GB2312" w:cs="Times New Roman"/>
          <w:color w:val="auto"/>
          <w:sz w:val="32"/>
          <w:szCs w:val="32"/>
          <w:highlight w:val="none"/>
          <w:u w:val="none"/>
          <w:lang w:eastAsia="zh-CN"/>
        </w:rPr>
        <w:t>施：运营期产生的普通生活垃圾设垃圾桶，分类收集后，由环卫部门定期清运</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餐厨垃圾及废油脂采用密闭、防腐的专用容器盛装，</w:t>
      </w:r>
      <w:r>
        <w:rPr>
          <w:rFonts w:hint="eastAsia" w:eastAsia="仿宋_GB2312" w:cs="Times New Roman"/>
          <w:color w:val="auto"/>
          <w:sz w:val="32"/>
          <w:szCs w:val="32"/>
          <w:highlight w:val="none"/>
          <w:u w:val="none"/>
          <w:lang w:val="en-US" w:eastAsia="zh-CN"/>
        </w:rPr>
        <w:t>交由有资质单位进行处置</w:t>
      </w:r>
      <w:r>
        <w:rPr>
          <w:rFonts w:hint="eastAsia" w:ascii="Times New Roman" w:hAnsi="Times New Roman" w:eastAsia="仿宋_GB2312" w:cs="Times New Roman"/>
          <w:color w:val="auto"/>
          <w:sz w:val="32"/>
          <w:szCs w:val="32"/>
          <w:highlight w:val="none"/>
          <w:u w:val="none"/>
          <w:lang w:eastAsia="zh-CN"/>
        </w:rPr>
        <w:t>，日产日清</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废活性炭、废紫外灯管等分类收集后，</w:t>
      </w:r>
      <w:r>
        <w:rPr>
          <w:rFonts w:hint="eastAsia" w:eastAsia="仿宋_GB2312" w:cs="Times New Roman"/>
          <w:color w:val="auto"/>
          <w:sz w:val="32"/>
          <w:szCs w:val="32"/>
          <w:highlight w:val="none"/>
          <w:u w:val="none"/>
          <w:lang w:eastAsia="zh-CN"/>
        </w:rPr>
        <w:t>分区</w:t>
      </w:r>
      <w:r>
        <w:rPr>
          <w:rFonts w:hint="eastAsia" w:ascii="Times New Roman" w:hAnsi="Times New Roman" w:eastAsia="仿宋_GB2312" w:cs="Times New Roman"/>
          <w:color w:val="auto"/>
          <w:sz w:val="32"/>
          <w:szCs w:val="32"/>
          <w:highlight w:val="none"/>
          <w:u w:val="none"/>
          <w:lang w:eastAsia="zh-CN"/>
        </w:rPr>
        <w:t>暂存于危废</w:t>
      </w:r>
      <w:r>
        <w:rPr>
          <w:rFonts w:hint="eastAsia" w:eastAsia="仿宋_GB2312" w:cs="Times New Roman"/>
          <w:color w:val="auto"/>
          <w:sz w:val="32"/>
          <w:szCs w:val="32"/>
          <w:highlight w:val="none"/>
          <w:u w:val="none"/>
          <w:lang w:val="en-US" w:eastAsia="zh-CN"/>
        </w:rPr>
        <w:t>暂存间</w:t>
      </w:r>
      <w:r>
        <w:rPr>
          <w:rFonts w:hint="eastAsia" w:ascii="Times New Roman" w:hAnsi="Times New Roman"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eastAsia="zh-CN"/>
        </w:rPr>
        <w:t>定期交由</w:t>
      </w:r>
      <w:r>
        <w:rPr>
          <w:rFonts w:hint="eastAsia" w:ascii="Times New Roman" w:hAnsi="Times New Roman" w:eastAsia="仿宋_GB2312" w:cs="Times New Roman"/>
          <w:color w:val="auto"/>
          <w:sz w:val="32"/>
          <w:szCs w:val="32"/>
          <w:highlight w:val="none"/>
          <w:u w:val="none"/>
          <w:lang w:eastAsia="zh-CN"/>
        </w:rPr>
        <w:t>有资质单位处置</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医疗废物分类收集包装后，暂存</w:t>
      </w:r>
      <w:r>
        <w:rPr>
          <w:rFonts w:hint="eastAsia" w:ascii="Times New Roman" w:hAnsi="Times New Roman" w:eastAsia="仿宋_GB2312" w:cs="Times New Roman"/>
          <w:color w:val="auto"/>
          <w:sz w:val="32"/>
          <w:szCs w:val="32"/>
          <w:highlight w:val="none"/>
          <w:u w:val="none"/>
          <w:lang w:val="en-US" w:eastAsia="zh-CN"/>
        </w:rPr>
        <w:t>于</w:t>
      </w:r>
      <w:r>
        <w:rPr>
          <w:rFonts w:hint="eastAsia" w:ascii="Times New Roman" w:hAnsi="Times New Roman" w:eastAsia="仿宋_GB2312" w:cs="Times New Roman"/>
          <w:color w:val="auto"/>
          <w:sz w:val="32"/>
          <w:szCs w:val="32"/>
          <w:highlight w:val="none"/>
          <w:u w:val="none"/>
          <w:lang w:eastAsia="zh-CN"/>
        </w:rPr>
        <w:t>医疗废物间，按时限要求</w:t>
      </w:r>
      <w:r>
        <w:rPr>
          <w:rFonts w:hint="eastAsia"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val="en-US" w:eastAsia="zh-CN"/>
        </w:rPr>
        <w:t>48小时内）</w:t>
      </w:r>
      <w:r>
        <w:rPr>
          <w:rFonts w:hint="eastAsia" w:ascii="Times New Roman" w:hAnsi="Times New Roman" w:eastAsia="仿宋_GB2312" w:cs="Times New Roman"/>
          <w:color w:val="auto"/>
          <w:sz w:val="32"/>
          <w:szCs w:val="32"/>
          <w:highlight w:val="none"/>
          <w:u w:val="none"/>
          <w:lang w:eastAsia="zh-CN"/>
        </w:rPr>
        <w:t>交由有资质单位处置</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并严格按照《危险废物贮存污染控制标准》（GB18597-2023）、《危险废物收集贮存运输技术规范》（HJ2025-2012）等相关要求收集、贮存、运输，严格执行危险废物转移管理办法，强化危险废物运输的环境保护措施，有效防范突发环境事件。</w:t>
      </w:r>
      <w:r>
        <w:rPr>
          <w:rFonts w:hint="eastAsia" w:ascii="Times New Roman" w:hAnsi="Times New Roman" w:eastAsia="仿宋_GB2312" w:cs="Times New Roman"/>
          <w:color w:val="auto"/>
          <w:sz w:val="32"/>
          <w:szCs w:val="32"/>
          <w:highlight w:val="none"/>
          <w:u w:val="none"/>
          <w:lang w:val="en-US" w:eastAsia="zh-CN"/>
        </w:rPr>
        <w:t>病理性医疗废物在医院内临时贮存时应采取防腐、冷藏措施，防止腐败和异味扩散。</w:t>
      </w:r>
      <w:r>
        <w:rPr>
          <w:rFonts w:hint="eastAsia" w:eastAsia="仿宋_GB2312" w:cs="Times New Roman"/>
          <w:color w:val="auto"/>
          <w:sz w:val="32"/>
          <w:szCs w:val="32"/>
          <w:highlight w:val="none"/>
          <w:u w:val="none"/>
          <w:lang w:val="en-US" w:eastAsia="zh-CN"/>
        </w:rPr>
        <w:t>栅渣及</w:t>
      </w:r>
      <w:r>
        <w:rPr>
          <w:rFonts w:hint="eastAsia" w:ascii="Times New Roman" w:hAnsi="Times New Roman" w:eastAsia="仿宋_GB2312" w:cs="Times New Roman"/>
          <w:color w:val="auto"/>
          <w:sz w:val="32"/>
          <w:szCs w:val="32"/>
          <w:highlight w:val="none"/>
          <w:u w:val="none"/>
          <w:lang w:eastAsia="zh-CN"/>
        </w:rPr>
        <w:t>污泥清掏应满足《医疗机构水污染物排放标准》(GB18466-2005)表4医疗机构污泥控制标准，并</w:t>
      </w:r>
      <w:r>
        <w:rPr>
          <w:rFonts w:hint="eastAsia" w:eastAsia="仿宋_GB2312" w:cs="Times New Roman"/>
          <w:color w:val="auto"/>
          <w:sz w:val="32"/>
          <w:szCs w:val="32"/>
          <w:highlight w:val="none"/>
          <w:u w:val="none"/>
          <w:lang w:val="en-US" w:eastAsia="zh-CN"/>
        </w:rPr>
        <w:t>定期</w:t>
      </w:r>
      <w:r>
        <w:rPr>
          <w:rFonts w:hint="eastAsia" w:ascii="Times New Roman" w:hAnsi="Times New Roman" w:eastAsia="仿宋_GB2312" w:cs="Times New Roman"/>
          <w:color w:val="auto"/>
          <w:sz w:val="32"/>
          <w:szCs w:val="32"/>
          <w:highlight w:val="none"/>
          <w:u w:val="none"/>
          <w:lang w:eastAsia="zh-CN"/>
        </w:rPr>
        <w:t>委托有资质单位清运处置。</w:t>
      </w:r>
    </w:p>
    <w:p w14:paraId="2542347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eastAsia="仿宋_GB2312" w:cs="Times New Roman"/>
          <w:color w:val="auto"/>
          <w:sz w:val="32"/>
          <w:szCs w:val="32"/>
          <w:highlight w:val="none"/>
          <w:u w:val="none"/>
          <w:lang w:eastAsia="zh-CN"/>
        </w:rPr>
      </w:pPr>
      <w:r>
        <w:rPr>
          <w:rFonts w:hint="eastAsia" w:eastAsia="仿宋_GB2312" w:cs="Times New Roman"/>
          <w:color w:val="auto"/>
          <w:sz w:val="32"/>
          <w:szCs w:val="32"/>
          <w:highlight w:val="none"/>
          <w:u w:val="none"/>
          <w:lang w:eastAsia="zh-CN"/>
        </w:rPr>
        <w:t>（五）严格落实噪声污染防治措施：</w:t>
      </w:r>
      <w:r>
        <w:rPr>
          <w:rFonts w:hint="default" w:ascii="Times New Roman" w:hAnsi="Times New Roman" w:eastAsia="仿宋_GB2312" w:cs="Times New Roman"/>
          <w:color w:val="auto"/>
          <w:sz w:val="32"/>
          <w:szCs w:val="32"/>
          <w:highlight w:val="none"/>
          <w:u w:val="none"/>
          <w:lang w:val="en-US" w:eastAsia="zh-CN"/>
        </w:rPr>
        <w:t>采取基础减振等降噪措施，</w:t>
      </w:r>
      <w:r>
        <w:rPr>
          <w:rFonts w:hint="eastAsia" w:eastAsia="仿宋_GB2312" w:cs="Times New Roman"/>
          <w:color w:val="auto"/>
          <w:sz w:val="32"/>
          <w:szCs w:val="32"/>
          <w:highlight w:val="none"/>
          <w:u w:val="none"/>
          <w:lang w:eastAsia="zh-CN"/>
        </w:rPr>
        <w:t>加强</w:t>
      </w:r>
      <w:r>
        <w:rPr>
          <w:rFonts w:hint="eastAsia" w:ascii="Times New Roman" w:hAnsi="Times New Roman" w:eastAsia="仿宋_GB2312" w:cs="Times New Roman"/>
          <w:color w:val="auto"/>
          <w:sz w:val="32"/>
          <w:szCs w:val="32"/>
          <w:highlight w:val="none"/>
          <w:u w:val="none"/>
          <w:lang w:eastAsia="zh-CN"/>
        </w:rPr>
        <w:t>管理，</w:t>
      </w:r>
      <w:r>
        <w:rPr>
          <w:rFonts w:hint="eastAsia" w:eastAsia="仿宋_GB2312" w:cs="Times New Roman"/>
          <w:color w:val="auto"/>
          <w:sz w:val="32"/>
          <w:szCs w:val="32"/>
          <w:highlight w:val="none"/>
          <w:u w:val="none"/>
          <w:lang w:eastAsia="zh-CN"/>
        </w:rPr>
        <w:t>确保医院场界噪声</w:t>
      </w:r>
      <w:r>
        <w:rPr>
          <w:rFonts w:hint="eastAsia" w:ascii="Times New Roman" w:hAnsi="Times New Roman" w:eastAsia="仿宋_GB2312" w:cs="Times New Roman"/>
          <w:color w:val="auto"/>
          <w:sz w:val="32"/>
          <w:szCs w:val="32"/>
          <w:highlight w:val="none"/>
          <w:u w:val="none"/>
          <w:lang w:eastAsia="zh-CN"/>
        </w:rPr>
        <w:t>排放</w:t>
      </w:r>
      <w:r>
        <w:rPr>
          <w:rFonts w:hint="eastAsia" w:ascii="Times New Roman" w:hAnsi="Times New Roman" w:eastAsia="仿宋_GB2312" w:cs="Times New Roman"/>
          <w:color w:val="auto"/>
          <w:sz w:val="32"/>
          <w:szCs w:val="32"/>
          <w:highlight w:val="none"/>
          <w:u w:val="none"/>
          <w:lang w:val="en-US" w:eastAsia="zh-CN"/>
        </w:rPr>
        <w:t>满足</w:t>
      </w:r>
      <w:r>
        <w:rPr>
          <w:rFonts w:hint="eastAsia" w:eastAsia="仿宋_GB2312" w:cs="Times New Roman"/>
          <w:color w:val="auto"/>
          <w:sz w:val="32"/>
          <w:szCs w:val="32"/>
          <w:highlight w:val="none"/>
          <w:u w:val="none"/>
          <w:lang w:eastAsia="zh-CN"/>
        </w:rPr>
        <w:t>《工业企业厂界环境噪声排放标准》(GB12348-2008）中</w:t>
      </w:r>
      <w:r>
        <w:rPr>
          <w:rFonts w:hint="eastAsia" w:eastAsia="仿宋_GB2312" w:cs="Times New Roman"/>
          <w:color w:val="auto"/>
          <w:sz w:val="32"/>
          <w:szCs w:val="32"/>
          <w:highlight w:val="none"/>
          <w:u w:val="none"/>
          <w:lang w:val="en-US" w:eastAsia="zh-CN"/>
        </w:rPr>
        <w:t>1</w:t>
      </w:r>
      <w:r>
        <w:rPr>
          <w:rFonts w:hint="eastAsia" w:eastAsia="仿宋_GB2312" w:cs="Times New Roman"/>
          <w:color w:val="auto"/>
          <w:sz w:val="32"/>
          <w:szCs w:val="32"/>
          <w:highlight w:val="none"/>
          <w:u w:val="none"/>
          <w:lang w:eastAsia="zh-CN"/>
        </w:rPr>
        <w:t>类标准限值。</w:t>
      </w:r>
    </w:p>
    <w:p w14:paraId="5D39456F">
      <w:pPr>
        <w:pStyle w:val="9"/>
        <w:keepNext w:val="0"/>
        <w:keepLines w:val="0"/>
        <w:pageBreakBefore w:val="0"/>
        <w:widowControl w:val="0"/>
        <w:numPr>
          <w:ilvl w:val="0"/>
          <w:numId w:val="0"/>
        </w:numPr>
        <w:tabs>
          <w:tab w:val="left" w:pos="851"/>
        </w:tabs>
        <w:kinsoku/>
        <w:wordWrap/>
        <w:overflowPunct/>
        <w:topLinePunct w:val="0"/>
        <w:autoSpaceDE/>
        <w:autoSpaceDN/>
        <w:bidi w:val="0"/>
        <w:snapToGrid/>
        <w:spacing w:line="550" w:lineRule="exact"/>
        <w:ind w:leftChars="0" w:firstLine="640" w:firstLineChars="200"/>
        <w:rPr>
          <w:rFonts w:hint="default" w:ascii="Times New Roman" w:hAnsi="Times New Roman" w:eastAsia="仿宋_GB2312" w:cs="Times New Roman"/>
          <w:sz w:val="32"/>
          <w:szCs w:val="32"/>
          <w:highlight w:val="none"/>
          <w:lang w:val="en-US" w:eastAsia="zh-CN"/>
        </w:rPr>
      </w:pPr>
      <w:r>
        <w:rPr>
          <w:rFonts w:hint="eastAsia" w:eastAsia="仿宋_GB2312" w:cs="Times New Roman"/>
          <w:color w:val="auto"/>
          <w:sz w:val="32"/>
          <w:szCs w:val="32"/>
          <w:highlight w:val="none"/>
          <w:u w:val="none"/>
          <w:lang w:eastAsia="zh-CN"/>
        </w:rPr>
        <w:t>（六）严格落实环境风险防</w:t>
      </w:r>
      <w:r>
        <w:rPr>
          <w:rFonts w:hint="eastAsia" w:ascii="Times New Roman" w:hAnsi="Times New Roman" w:eastAsia="仿宋_GB2312" w:cs="Times New Roman"/>
          <w:color w:val="auto"/>
          <w:sz w:val="32"/>
          <w:szCs w:val="32"/>
          <w:highlight w:val="none"/>
          <w:shd w:val="clear" w:color="auto" w:fill="auto"/>
          <w:lang w:val="en-US" w:eastAsia="zh-CN"/>
        </w:rPr>
        <w:t>范措施：编制突发环境事件应急预案并报生态环境部门备案，定期开展应急演练。危废管理要建立台账，完善危废管理制度，严格按照规定设置危险废物识别标志，转移须严格落实《危险废物转移管理办法》(部令第23号)相关要求，执行危险废物转移联单制度。</w:t>
      </w:r>
      <w:r>
        <w:rPr>
          <w:rFonts w:hint="default" w:ascii="Times New Roman" w:hAnsi="Times New Roman" w:eastAsia="仿宋_GB2312" w:cs="Times New Roman"/>
          <w:color w:val="auto"/>
          <w:sz w:val="32"/>
          <w:szCs w:val="32"/>
          <w:highlight w:val="none"/>
          <w:shd w:val="clear" w:color="auto" w:fill="auto"/>
          <w:lang w:val="en-US" w:eastAsia="zh-CN"/>
        </w:rPr>
        <w:t>加强管理，定期巡检、调节、保养、维修设备并做好日常环境监督管理，确保环保措施的有效落实、环保设施的正常运转以及各项污染物稳定达标排放。</w:t>
      </w:r>
      <w:r>
        <w:rPr>
          <w:rFonts w:hint="default" w:ascii="Times New Roman" w:hAnsi="Times New Roman" w:eastAsia="仿宋_GB2312" w:cs="Times New Roman"/>
          <w:color w:val="auto"/>
          <w:sz w:val="32"/>
          <w:szCs w:val="32"/>
          <w:highlight w:val="none"/>
          <w:shd w:val="clear" w:color="auto" w:fill="auto"/>
          <w:lang w:val="en-US" w:eastAsia="zh-CN"/>
        </w:rPr>
        <w:t>按照排污单位自行监测技术规范要求，定期开展环境监测。</w:t>
      </w:r>
    </w:p>
    <w:p w14:paraId="7E2FDF1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项目建设必须严格执行配套的环境保护设施与主体工程同时设计、同时施工、同时投产使用的“三同时”制度，落实环保设施安全生产相关工作要求。施工招标文件和施工合同应明确环保条款和责任，认真落实施工期环境保护工作。按规定程序开展竣工环境保护验收。</w:t>
      </w:r>
    </w:p>
    <w:p w14:paraId="56435714">
      <w:pPr>
        <w:keepNext w:val="0"/>
        <w:keepLines w:val="0"/>
        <w:pageBreakBefore w:val="0"/>
        <w:numPr>
          <w:ilvl w:val="-1"/>
          <w:numId w:val="0"/>
        </w:numPr>
        <w:kinsoku/>
        <w:wordWrap/>
        <w:overflowPunct/>
        <w:topLinePunct w:val="0"/>
        <w:bidi w:val="0"/>
        <w:spacing w:line="550" w:lineRule="exact"/>
        <w:ind w:left="0" w:leftChars="0" w:firstLine="640" w:firstLineChars="200"/>
        <w:textAlignment w:val="auto"/>
        <w:rPr>
          <w:rFonts w:eastAsia="仿宋_GB2312"/>
          <w:color w:val="auto"/>
          <w:sz w:val="32"/>
          <w:szCs w:val="32"/>
        </w:rPr>
      </w:pPr>
      <w:r>
        <w:rPr>
          <w:rFonts w:hint="eastAsia" w:ascii="Times New Roman" w:hAnsi="Times New Roman" w:eastAsia="仿宋_GB2312" w:cs="Times New Roman"/>
          <w:bCs/>
          <w:color w:val="auto"/>
          <w:sz w:val="32"/>
          <w:szCs w:val="32"/>
          <w:lang w:val="en-US" w:eastAsia="zh-CN"/>
        </w:rPr>
        <w:t>四、</w:t>
      </w:r>
      <w:r>
        <w:rPr>
          <w:rFonts w:hint="default" w:ascii="Times New Roman" w:hAnsi="Times New Roman" w:eastAsia="仿宋_GB2312" w:cs="Times New Roman"/>
          <w:bCs/>
          <w:color w:val="auto"/>
          <w:sz w:val="32"/>
          <w:szCs w:val="32"/>
          <w:lang w:eastAsia="zh-CN"/>
        </w:rPr>
        <w:t>环境影响报告经批准后，项目的性质、规模、地点、生产工艺和环境保护措施发生重大变动的，应当依法重新报批项目的环境影响报告。在项目发生实际排污行为前，</w:t>
      </w:r>
      <w:r>
        <w:rPr>
          <w:rFonts w:hint="eastAsia" w:ascii="Times New Roman" w:hAnsi="Times New Roman" w:eastAsia="仿宋_GB2312" w:cs="Times New Roman"/>
          <w:color w:val="auto"/>
          <w:sz w:val="32"/>
          <w:szCs w:val="32"/>
          <w:highlight w:val="none"/>
        </w:rPr>
        <w:t>按照经批准的环境影响评价文件认真梳理并确认各项环境保护措施落实后，依法申领排污许可。</w:t>
      </w:r>
    </w:p>
    <w:p w14:paraId="7E7E61C1">
      <w:pPr>
        <w:keepNext w:val="0"/>
        <w:keepLines w:val="0"/>
        <w:pageBreakBefore w:val="0"/>
        <w:widowControl/>
        <w:kinsoku/>
        <w:wordWrap/>
        <w:overflowPunct/>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color w:val="auto"/>
          <w:kern w:val="0"/>
          <w:sz w:val="32"/>
          <w:szCs w:val="32"/>
          <w:highlight w:val="none"/>
          <w:u w:val="none"/>
        </w:rPr>
      </w:pPr>
    </w:p>
    <w:p w14:paraId="1FB21706">
      <w:pPr>
        <w:keepNext w:val="0"/>
        <w:keepLines w:val="0"/>
        <w:pageBreakBefore w:val="0"/>
        <w:widowControl/>
        <w:kinsoku/>
        <w:wordWrap/>
        <w:overflowPunct/>
        <w:topLinePunct w:val="0"/>
        <w:autoSpaceDE/>
        <w:autoSpaceDN/>
        <w:bidi w:val="0"/>
        <w:adjustRightInd w:val="0"/>
        <w:snapToGrid w:val="0"/>
        <w:spacing w:line="550" w:lineRule="exact"/>
        <w:ind w:firstLine="640" w:firstLineChars="200"/>
        <w:jc w:val="right"/>
        <w:rPr>
          <w:rFonts w:hint="eastAsia"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rPr>
        <w:t>新疆准东经济技术开发区环境保护局</w:t>
      </w:r>
    </w:p>
    <w:p w14:paraId="40BFF1D1">
      <w:pPr>
        <w:keepNext w:val="0"/>
        <w:keepLines w:val="0"/>
        <w:pageBreakBefore w:val="0"/>
        <w:widowControl/>
        <w:kinsoku/>
        <w:wordWrap/>
        <w:overflowPunct/>
        <w:topLinePunct w:val="0"/>
        <w:autoSpaceDE/>
        <w:autoSpaceDN/>
        <w:bidi w:val="0"/>
        <w:adjustRightInd w:val="0"/>
        <w:snapToGrid w:val="0"/>
        <w:spacing w:line="550" w:lineRule="exact"/>
        <w:jc w:val="both"/>
        <w:rPr>
          <w:rFonts w:hint="eastAsia" w:eastAsia="仿宋_GB2312" w:cs="Times New Roman"/>
          <w:color w:val="auto"/>
          <w:kern w:val="0"/>
          <w:sz w:val="32"/>
          <w:szCs w:val="32"/>
          <w:highlight w:val="yellow"/>
          <w:u w:val="none"/>
          <w:lang w:val="en-US" w:eastAsia="zh-CN"/>
        </w:rPr>
      </w:pPr>
      <w:r>
        <w:rPr>
          <w:rFonts w:hint="eastAsia" w:eastAsia="仿宋_GB2312" w:cs="Times New Roman"/>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rPr>
        <w:t>20</w:t>
      </w:r>
      <w:r>
        <w:rPr>
          <w:rFonts w:hint="default" w:ascii="Times New Roman" w:hAnsi="Times New Roman" w:eastAsia="仿宋_GB2312" w:cs="Times New Roman"/>
          <w:color w:val="auto"/>
          <w:kern w:val="0"/>
          <w:sz w:val="32"/>
          <w:szCs w:val="32"/>
          <w:highlight w:val="none"/>
          <w:u w:val="none"/>
          <w:lang w:val="en-US" w:eastAsia="zh-CN"/>
        </w:rPr>
        <w:t>2</w:t>
      </w:r>
      <w:r>
        <w:rPr>
          <w:rFonts w:hint="eastAsia"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rPr>
        <w:t>年</w:t>
      </w:r>
      <w:r>
        <w:rPr>
          <w:rFonts w:hint="eastAsia"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rPr>
        <w:t>月</w:t>
      </w:r>
      <w:r>
        <w:rPr>
          <w:rFonts w:hint="eastAsia" w:eastAsia="仿宋_GB2312" w:cs="Times New Roman"/>
          <w:color w:val="auto"/>
          <w:kern w:val="0"/>
          <w:sz w:val="32"/>
          <w:szCs w:val="32"/>
          <w:highlight w:val="none"/>
          <w:u w:val="none"/>
          <w:lang w:val="en-US" w:eastAsia="zh-CN"/>
        </w:rPr>
        <w:t>6日</w:t>
      </w:r>
    </w:p>
    <w:p w14:paraId="2CD12A8E">
      <w:pPr>
        <w:keepNext w:val="0"/>
        <w:keepLines w:val="0"/>
        <w:pageBreakBefore w:val="0"/>
        <w:widowControl/>
        <w:kinsoku/>
        <w:wordWrap/>
        <w:overflowPunct/>
        <w:topLinePunct w:val="0"/>
        <w:autoSpaceDE/>
        <w:autoSpaceDN/>
        <w:bidi w:val="0"/>
        <w:adjustRightInd w:val="0"/>
        <w:snapToGrid w:val="0"/>
        <w:spacing w:line="550" w:lineRule="exact"/>
        <w:jc w:val="both"/>
        <w:rPr>
          <w:rFonts w:hint="eastAsia" w:eastAsia="仿宋_GB2312" w:cs="Times New Roman"/>
          <w:color w:val="auto"/>
          <w:kern w:val="0"/>
          <w:sz w:val="32"/>
          <w:szCs w:val="32"/>
          <w:highlight w:val="none"/>
          <w:u w:val="none"/>
          <w:lang w:val="en-US" w:eastAsia="zh-CN"/>
        </w:rPr>
      </w:pPr>
    </w:p>
    <w:p w14:paraId="60F9D0BD">
      <w:pPr>
        <w:pStyle w:val="29"/>
        <w:spacing w:line="560" w:lineRule="exact"/>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（此件社会公开）</w:t>
      </w:r>
    </w:p>
    <w:p w14:paraId="097E5732">
      <w:pPr>
        <w:keepNext w:val="0"/>
        <w:keepLines w:val="0"/>
        <w:pageBreakBefore w:val="0"/>
        <w:widowControl/>
        <w:kinsoku/>
        <w:wordWrap/>
        <w:overflowPunct/>
        <w:topLinePunct w:val="0"/>
        <w:autoSpaceDE/>
        <w:autoSpaceDN/>
        <w:bidi w:val="0"/>
        <w:adjustRightInd w:val="0"/>
        <w:snapToGrid w:val="0"/>
        <w:spacing w:line="550" w:lineRule="exact"/>
        <w:jc w:val="both"/>
        <w:rPr>
          <w:rFonts w:hint="default" w:eastAsia="仿宋_GB2312" w:cs="Times New Roman"/>
          <w:color w:val="auto"/>
          <w:kern w:val="0"/>
          <w:sz w:val="32"/>
          <w:szCs w:val="32"/>
          <w:highlight w:val="none"/>
          <w:u w:val="none"/>
          <w:lang w:val="en-US" w:eastAsia="zh-CN"/>
        </w:rPr>
      </w:pPr>
    </w:p>
    <w:p w14:paraId="5A6CF70A">
      <w:pPr>
        <w:pStyle w:val="5"/>
        <w:rPr>
          <w:rFonts w:hint="default" w:eastAsia="仿宋_GB2312" w:cs="Times New Roman"/>
          <w:color w:val="auto"/>
          <w:kern w:val="0"/>
          <w:sz w:val="32"/>
          <w:szCs w:val="32"/>
          <w:highlight w:val="none"/>
          <w:u w:val="none"/>
          <w:lang w:val="en-US" w:eastAsia="zh-CN"/>
        </w:rPr>
      </w:pPr>
    </w:p>
    <w:p w14:paraId="40B3F02E">
      <w:pPr>
        <w:pStyle w:val="3"/>
        <w:rPr>
          <w:rFonts w:hint="default" w:eastAsia="仿宋_GB2312" w:cs="Times New Roman"/>
          <w:color w:val="auto"/>
          <w:kern w:val="0"/>
          <w:sz w:val="32"/>
          <w:szCs w:val="32"/>
          <w:highlight w:val="none"/>
          <w:u w:val="none"/>
          <w:lang w:val="en-US" w:eastAsia="zh-CN"/>
        </w:rPr>
      </w:pPr>
    </w:p>
    <w:p w14:paraId="2DD9147E">
      <w:pPr>
        <w:rPr>
          <w:rFonts w:hint="default" w:eastAsia="仿宋_GB2312" w:cs="Times New Roman"/>
          <w:color w:val="auto"/>
          <w:kern w:val="0"/>
          <w:sz w:val="32"/>
          <w:szCs w:val="32"/>
          <w:highlight w:val="none"/>
          <w:u w:val="none"/>
          <w:lang w:val="en-US" w:eastAsia="zh-CN"/>
        </w:rPr>
      </w:pPr>
      <w:bookmarkStart w:id="2" w:name="_GoBack"/>
      <w:bookmarkEnd w:id="2"/>
    </w:p>
    <w:p w14:paraId="404D53DA">
      <w:pPr>
        <w:pStyle w:val="2"/>
        <w:rPr>
          <w:rFonts w:hint="default" w:eastAsia="仿宋_GB2312" w:cs="Times New Roman"/>
          <w:color w:val="auto"/>
          <w:kern w:val="0"/>
          <w:sz w:val="32"/>
          <w:szCs w:val="32"/>
          <w:highlight w:val="none"/>
          <w:u w:val="none"/>
          <w:lang w:val="en-US" w:eastAsia="zh-CN"/>
        </w:rPr>
      </w:pPr>
    </w:p>
    <w:p w14:paraId="26ADDABF">
      <w:pPr>
        <w:pStyle w:val="3"/>
        <w:ind w:left="0" w:leftChars="0" w:firstLine="0" w:firstLineChars="0"/>
        <w:rPr>
          <w:rFonts w:hint="default"/>
          <w:lang w:val="en-US" w:eastAsia="zh-CN"/>
        </w:rPr>
      </w:pPr>
    </w:p>
    <w:p w14:paraId="114E1854">
      <w:pPr>
        <w:pStyle w:val="13"/>
        <w:widowControl w:val="0"/>
        <w:numPr>
          <w:ilvl w:val="0"/>
          <w:numId w:val="0"/>
        </w:numPr>
        <w:autoSpaceDE w:val="0"/>
        <w:spacing w:line="560" w:lineRule="exact"/>
        <w:jc w:val="both"/>
        <w:rPr>
          <w:highlight w:val="none"/>
        </w:rPr>
      </w:pPr>
    </w:p>
    <w:p w14:paraId="2E39ABC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w:t>抄送：昌吉州生态环境保护综合行政执法支队准东大队存档。</w:t>
      </w:r>
    </w:p>
    <w:p w14:paraId="00579F44">
      <w:pPr>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w:t>新疆准东经济技术开发区环境保护局  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日印发</w:t>
      </w:r>
    </w:p>
    <w:p w14:paraId="3D8C540F">
      <w:pPr>
        <w:keepNext w:val="0"/>
        <w:keepLines w:val="0"/>
        <w:pageBreakBefore w:val="0"/>
        <w:tabs>
          <w:tab w:val="left" w:pos="360"/>
        </w:tabs>
        <w:kinsoku/>
        <w:wordWrap/>
        <w:overflowPunct/>
        <w:topLinePunct w:val="0"/>
        <w:bidi w:val="0"/>
        <w:spacing w:line="550" w:lineRule="exact"/>
        <w:ind w:right="25" w:rightChars="12" w:firstLine="640" w:firstLineChars="200"/>
        <w:rPr>
          <w:rFonts w:hint="default" w:ascii="Times New Roman" w:hAnsi="Times New Roman" w:eastAsia="仿宋_GB2312" w:cs="Times New Roman"/>
          <w:color w:val="auto"/>
          <w:sz w:val="32"/>
          <w:szCs w:val="32"/>
          <w:highlight w:val="none"/>
          <w:u w:val="non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ED19EF06-2D50-4495-9B0A-6789A5CE2001}"/>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2" w:fontKey="{B9AD3C76-DBF7-4023-80DF-AEDEDDD24BF5}"/>
  </w:font>
  <w:font w:name="方正小标宋简体">
    <w:panose1 w:val="03000509000000000000"/>
    <w:charset w:val="86"/>
    <w:family w:val="auto"/>
    <w:pitch w:val="default"/>
    <w:sig w:usb0="00000001" w:usb1="080E0000" w:usb2="00000000" w:usb3="00000000" w:csb0="00040000" w:csb1="00000000"/>
    <w:embedRegular r:id="rId3" w:fontKey="{2F828DFF-7564-4EF7-A0B3-91A5832172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94AD">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8C9606">
                          <w:pPr>
                            <w:pStyle w:val="14"/>
                            <w:rPr>
                              <w:rFonts w:hint="eastAsia" w:eastAsia="宋体"/>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2C8C9606">
                    <w:pPr>
                      <w:pStyle w:val="14"/>
                      <w:rPr>
                        <w:rFonts w:hint="eastAsia" w:eastAsia="宋体"/>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24DE4E"/>
    <w:multiLevelType w:val="singleLevel"/>
    <w:tmpl w:val="2224DE4E"/>
    <w:lvl w:ilvl="0" w:tentative="0">
      <w:start w:val="1"/>
      <w:numFmt w:val="chineseCounting"/>
      <w:suff w:val="nothing"/>
      <w:lvlText w:val="%1、"/>
      <w:lvlJc w:val="left"/>
      <w:rPr>
        <w:rFonts w:hint="eastAsia"/>
      </w:rPr>
    </w:lvl>
  </w:abstractNum>
  <w:abstractNum w:abstractNumId="1">
    <w:nsid w:val="512B2D8D"/>
    <w:multiLevelType w:val="singleLevel"/>
    <w:tmpl w:val="512B2D8D"/>
    <w:lvl w:ilvl="0" w:tentative="0">
      <w:start w:val="1"/>
      <w:numFmt w:val="decimal"/>
      <w:pStyle w:val="13"/>
      <w:lvlText w:val="%1."/>
      <w:lvlJc w:val="left"/>
      <w:pPr>
        <w:tabs>
          <w:tab w:val="left" w:pos="2040"/>
        </w:tabs>
        <w:ind w:left="2040" w:hanging="360"/>
      </w:pPr>
    </w:lvl>
  </w:abstractNum>
  <w:abstractNum w:abstractNumId="2">
    <w:nsid w:val="7D172C88"/>
    <w:multiLevelType w:val="multilevel"/>
    <w:tmpl w:val="7D172C8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pStyle w:val="4"/>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 w:name="KSO_WPS_MARK_KEY" w:val="e4bc2cba-66fe-429f-ba92-2cbaf694d546"/>
  </w:docVars>
  <w:rsids>
    <w:rsidRoot w:val="00160414"/>
    <w:rsid w:val="000825F0"/>
    <w:rsid w:val="000E0246"/>
    <w:rsid w:val="00160414"/>
    <w:rsid w:val="002A273E"/>
    <w:rsid w:val="003133C0"/>
    <w:rsid w:val="005065A3"/>
    <w:rsid w:val="00590420"/>
    <w:rsid w:val="00685E07"/>
    <w:rsid w:val="006B3600"/>
    <w:rsid w:val="00B806ED"/>
    <w:rsid w:val="00B87098"/>
    <w:rsid w:val="00DE45CE"/>
    <w:rsid w:val="012940D1"/>
    <w:rsid w:val="029B1E70"/>
    <w:rsid w:val="02D654AF"/>
    <w:rsid w:val="03AA5D47"/>
    <w:rsid w:val="041D2E3E"/>
    <w:rsid w:val="047F2D99"/>
    <w:rsid w:val="056E7CDC"/>
    <w:rsid w:val="05B922DB"/>
    <w:rsid w:val="05DB29DC"/>
    <w:rsid w:val="06533B98"/>
    <w:rsid w:val="07116875"/>
    <w:rsid w:val="076B7D89"/>
    <w:rsid w:val="07C952E1"/>
    <w:rsid w:val="080F5CF4"/>
    <w:rsid w:val="08D36F08"/>
    <w:rsid w:val="08F065A2"/>
    <w:rsid w:val="08F95F13"/>
    <w:rsid w:val="0A177892"/>
    <w:rsid w:val="0AA17B2E"/>
    <w:rsid w:val="0CE37977"/>
    <w:rsid w:val="0D1312F0"/>
    <w:rsid w:val="0D1B29E5"/>
    <w:rsid w:val="0F0E12B6"/>
    <w:rsid w:val="0F20161D"/>
    <w:rsid w:val="0F59167F"/>
    <w:rsid w:val="110D7987"/>
    <w:rsid w:val="11237C0B"/>
    <w:rsid w:val="117E7900"/>
    <w:rsid w:val="12834F0C"/>
    <w:rsid w:val="1437094C"/>
    <w:rsid w:val="16021916"/>
    <w:rsid w:val="164369EA"/>
    <w:rsid w:val="181813C6"/>
    <w:rsid w:val="182D4A4A"/>
    <w:rsid w:val="184134C6"/>
    <w:rsid w:val="189C546A"/>
    <w:rsid w:val="198369CE"/>
    <w:rsid w:val="19F8689F"/>
    <w:rsid w:val="1B886D73"/>
    <w:rsid w:val="1B98030A"/>
    <w:rsid w:val="1CA25648"/>
    <w:rsid w:val="1D71626E"/>
    <w:rsid w:val="1EBD5492"/>
    <w:rsid w:val="1EE50723"/>
    <w:rsid w:val="1F1C0883"/>
    <w:rsid w:val="20564AC7"/>
    <w:rsid w:val="220F17A9"/>
    <w:rsid w:val="22D622C7"/>
    <w:rsid w:val="230F43FB"/>
    <w:rsid w:val="23841EAA"/>
    <w:rsid w:val="25F3318F"/>
    <w:rsid w:val="26EB53D7"/>
    <w:rsid w:val="27542DB5"/>
    <w:rsid w:val="27566014"/>
    <w:rsid w:val="27A87B45"/>
    <w:rsid w:val="28D87CF8"/>
    <w:rsid w:val="28EE6CCE"/>
    <w:rsid w:val="29516251"/>
    <w:rsid w:val="2B482EB9"/>
    <w:rsid w:val="2B6D5051"/>
    <w:rsid w:val="2D4F6AB8"/>
    <w:rsid w:val="2DF91AC2"/>
    <w:rsid w:val="2E1B6576"/>
    <w:rsid w:val="320C76B2"/>
    <w:rsid w:val="332F60CE"/>
    <w:rsid w:val="33786129"/>
    <w:rsid w:val="33E03AE5"/>
    <w:rsid w:val="344B1EFA"/>
    <w:rsid w:val="34FD33FE"/>
    <w:rsid w:val="356D79F8"/>
    <w:rsid w:val="357D5553"/>
    <w:rsid w:val="358D7992"/>
    <w:rsid w:val="36730100"/>
    <w:rsid w:val="392B3997"/>
    <w:rsid w:val="3974084A"/>
    <w:rsid w:val="39A16C07"/>
    <w:rsid w:val="3A2F1E36"/>
    <w:rsid w:val="3AA3595F"/>
    <w:rsid w:val="3BA74221"/>
    <w:rsid w:val="3BF6292F"/>
    <w:rsid w:val="3C7402A0"/>
    <w:rsid w:val="3CA64B08"/>
    <w:rsid w:val="3D796D0B"/>
    <w:rsid w:val="3EA96E57"/>
    <w:rsid w:val="3EAF5049"/>
    <w:rsid w:val="3ED30FDA"/>
    <w:rsid w:val="3F0538C0"/>
    <w:rsid w:val="40322FEF"/>
    <w:rsid w:val="40361302"/>
    <w:rsid w:val="40600600"/>
    <w:rsid w:val="408542DA"/>
    <w:rsid w:val="40D6270A"/>
    <w:rsid w:val="417857ED"/>
    <w:rsid w:val="42672CCC"/>
    <w:rsid w:val="43707C19"/>
    <w:rsid w:val="43F90DBC"/>
    <w:rsid w:val="45695094"/>
    <w:rsid w:val="46833A63"/>
    <w:rsid w:val="4A6A7EB9"/>
    <w:rsid w:val="4A6F0787"/>
    <w:rsid w:val="4BE660C9"/>
    <w:rsid w:val="4C037485"/>
    <w:rsid w:val="4C221390"/>
    <w:rsid w:val="4CEB778A"/>
    <w:rsid w:val="4DB44CA1"/>
    <w:rsid w:val="4DCE2ACB"/>
    <w:rsid w:val="4DE57CA2"/>
    <w:rsid w:val="4EF063A1"/>
    <w:rsid w:val="4F370862"/>
    <w:rsid w:val="5022304E"/>
    <w:rsid w:val="50AD51D6"/>
    <w:rsid w:val="51B756DD"/>
    <w:rsid w:val="51EE315A"/>
    <w:rsid w:val="521C106E"/>
    <w:rsid w:val="5254657B"/>
    <w:rsid w:val="52662EF6"/>
    <w:rsid w:val="54260F0F"/>
    <w:rsid w:val="548E5275"/>
    <w:rsid w:val="56613358"/>
    <w:rsid w:val="56CD75CA"/>
    <w:rsid w:val="5725475D"/>
    <w:rsid w:val="575E609C"/>
    <w:rsid w:val="57633422"/>
    <w:rsid w:val="587A4572"/>
    <w:rsid w:val="58D53CB9"/>
    <w:rsid w:val="5A893C35"/>
    <w:rsid w:val="5B6B319E"/>
    <w:rsid w:val="5C36791B"/>
    <w:rsid w:val="5CBC62E1"/>
    <w:rsid w:val="5D604664"/>
    <w:rsid w:val="5DFF1AB5"/>
    <w:rsid w:val="5E687F2E"/>
    <w:rsid w:val="5FC07A4A"/>
    <w:rsid w:val="624F66D2"/>
    <w:rsid w:val="62ED115F"/>
    <w:rsid w:val="633B7080"/>
    <w:rsid w:val="63CF091A"/>
    <w:rsid w:val="64E8771B"/>
    <w:rsid w:val="653A6404"/>
    <w:rsid w:val="65A4197B"/>
    <w:rsid w:val="65BF0EA7"/>
    <w:rsid w:val="665E61D1"/>
    <w:rsid w:val="66B147CA"/>
    <w:rsid w:val="66C2337C"/>
    <w:rsid w:val="66C46969"/>
    <w:rsid w:val="67307392"/>
    <w:rsid w:val="678918D9"/>
    <w:rsid w:val="67D957CB"/>
    <w:rsid w:val="69566EA7"/>
    <w:rsid w:val="6AE96185"/>
    <w:rsid w:val="6B5E1906"/>
    <w:rsid w:val="6C7672FB"/>
    <w:rsid w:val="6D925C43"/>
    <w:rsid w:val="6DAF734C"/>
    <w:rsid w:val="6E263140"/>
    <w:rsid w:val="6E4C0627"/>
    <w:rsid w:val="6E4E51BB"/>
    <w:rsid w:val="6EBC193D"/>
    <w:rsid w:val="6F2559A1"/>
    <w:rsid w:val="6FD9707C"/>
    <w:rsid w:val="728944E2"/>
    <w:rsid w:val="738A687C"/>
    <w:rsid w:val="73CD1EF7"/>
    <w:rsid w:val="73DA35B4"/>
    <w:rsid w:val="73FF0750"/>
    <w:rsid w:val="743B1CD7"/>
    <w:rsid w:val="744A6EDF"/>
    <w:rsid w:val="7573144A"/>
    <w:rsid w:val="7678652D"/>
    <w:rsid w:val="769772DE"/>
    <w:rsid w:val="7714322D"/>
    <w:rsid w:val="781F61DE"/>
    <w:rsid w:val="78657EDB"/>
    <w:rsid w:val="790306EB"/>
    <w:rsid w:val="799E79FF"/>
    <w:rsid w:val="79A62783"/>
    <w:rsid w:val="79A64265"/>
    <w:rsid w:val="7A797B0F"/>
    <w:rsid w:val="7AA923FC"/>
    <w:rsid w:val="7C0A6D8E"/>
    <w:rsid w:val="7D8212F8"/>
    <w:rsid w:val="7D970B79"/>
    <w:rsid w:val="7DD0573A"/>
    <w:rsid w:val="7E33683F"/>
    <w:rsid w:val="7E80113D"/>
    <w:rsid w:val="7EC82343"/>
    <w:rsid w:val="7F63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8">
    <w:name w:val="heading 2"/>
    <w:basedOn w:val="1"/>
    <w:next w:val="1"/>
    <w:autoRedefine/>
    <w:qFormat/>
    <w:uiPriority w:val="0"/>
    <w:pPr>
      <w:keepNext/>
      <w:keepLines/>
      <w:spacing w:before="260" w:after="260"/>
      <w:outlineLvl w:val="1"/>
    </w:pPr>
    <w:rPr>
      <w:rFonts w:ascii="Arial" w:hAnsi="Arial" w:eastAsia="Times New Roman"/>
      <w:b/>
      <w:color w:val="00B0F0"/>
      <w:sz w:val="36"/>
      <w:szCs w:val="20"/>
    </w:rPr>
  </w:style>
  <w:style w:type="paragraph" w:styleId="9">
    <w:name w:val="heading 3"/>
    <w:basedOn w:val="1"/>
    <w:next w:val="1"/>
    <w:autoRedefine/>
    <w:qFormat/>
    <w:uiPriority w:val="0"/>
    <w:pPr>
      <w:adjustRightInd w:val="0"/>
      <w:spacing w:line="360" w:lineRule="auto"/>
      <w:textAlignment w:val="baseline"/>
      <w:outlineLvl w:val="2"/>
    </w:pPr>
    <w:rPr>
      <w:rFonts w:eastAsia="黑体"/>
      <w:kern w:val="2"/>
      <w:sz w:val="28"/>
      <w:lang w:val="en-US" w:eastAsia="zh-CN"/>
    </w:rPr>
  </w:style>
  <w:style w:type="paragraph" w:styleId="4">
    <w:name w:val="heading 4"/>
    <w:basedOn w:val="1"/>
    <w:next w:val="1"/>
    <w:autoRedefine/>
    <w:qFormat/>
    <w:uiPriority w:val="1"/>
    <w:pPr>
      <w:keepNext/>
      <w:keepLines/>
      <w:numPr>
        <w:ilvl w:val="3"/>
        <w:numId w:val="1"/>
      </w:numPr>
      <w:snapToGrid w:val="0"/>
      <w:ind w:firstLine="0" w:firstLineChars="0"/>
      <w:jc w:val="left"/>
      <w:outlineLvl w:val="3"/>
    </w:pPr>
    <w:rPr>
      <w:b/>
      <w:kern w:val="2"/>
    </w:rPr>
  </w:style>
  <w:style w:type="character" w:default="1" w:styleId="18">
    <w:name w:val="Default Paragraph Font"/>
    <w:autoRedefine/>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26"/>
    <w:autoRedefine/>
    <w:semiHidden/>
    <w:unhideWhenUsed/>
    <w:qFormat/>
    <w:uiPriority w:val="99"/>
    <w:pPr>
      <w:ind w:firstLine="420" w:firstLineChars="200"/>
    </w:pPr>
  </w:style>
  <w:style w:type="paragraph" w:styleId="3">
    <w:name w:val="Body Text Indent"/>
    <w:basedOn w:val="1"/>
    <w:next w:val="4"/>
    <w:link w:val="25"/>
    <w:autoRedefine/>
    <w:semiHidden/>
    <w:unhideWhenUsed/>
    <w:qFormat/>
    <w:uiPriority w:val="99"/>
    <w:pPr>
      <w:spacing w:after="120"/>
      <w:ind w:left="420" w:leftChars="200"/>
    </w:pPr>
  </w:style>
  <w:style w:type="paragraph" w:styleId="5">
    <w:name w:val="Body Text First Indent"/>
    <w:basedOn w:val="6"/>
    <w:next w:val="3"/>
    <w:autoRedefine/>
    <w:unhideWhenUsed/>
    <w:qFormat/>
    <w:uiPriority w:val="99"/>
    <w:pPr>
      <w:ind w:firstLine="420" w:firstLineChars="100"/>
    </w:pPr>
  </w:style>
  <w:style w:type="paragraph" w:styleId="6">
    <w:name w:val="Body Text"/>
    <w:basedOn w:val="1"/>
    <w:next w:val="7"/>
    <w:autoRedefine/>
    <w:qFormat/>
    <w:uiPriority w:val="0"/>
    <w:pPr>
      <w:widowControl/>
      <w:snapToGrid w:val="0"/>
      <w:spacing w:before="60" w:after="160" w:line="259" w:lineRule="auto"/>
      <w:ind w:right="113"/>
    </w:pPr>
    <w:rPr>
      <w:kern w:val="0"/>
      <w:sz w:val="18"/>
      <w:szCs w:val="20"/>
    </w:rPr>
  </w:style>
  <w:style w:type="paragraph" w:styleId="7">
    <w:name w:val="Body Text 2"/>
    <w:basedOn w:val="1"/>
    <w:autoRedefine/>
    <w:qFormat/>
    <w:uiPriority w:val="0"/>
    <w:pPr>
      <w:spacing w:after="120" w:line="480" w:lineRule="auto"/>
    </w:pPr>
  </w:style>
  <w:style w:type="paragraph" w:styleId="10">
    <w:name w:val="Normal Indent"/>
    <w:basedOn w:val="1"/>
    <w:next w:val="4"/>
    <w:autoRedefine/>
    <w:qFormat/>
    <w:uiPriority w:val="0"/>
    <w:pPr>
      <w:ind w:firstLine="420"/>
    </w:pPr>
    <w:rPr>
      <w:kern w:val="2"/>
      <w:sz w:val="28"/>
    </w:rPr>
  </w:style>
  <w:style w:type="paragraph" w:styleId="11">
    <w:name w:val="annotation text"/>
    <w:basedOn w:val="1"/>
    <w:autoRedefine/>
    <w:semiHidden/>
    <w:qFormat/>
    <w:uiPriority w:val="0"/>
    <w:pPr>
      <w:jc w:val="left"/>
    </w:pPr>
    <w:rPr>
      <w:kern w:val="0"/>
      <w:sz w:val="24"/>
      <w:szCs w:val="20"/>
    </w:rPr>
  </w:style>
  <w:style w:type="paragraph" w:styleId="12">
    <w:name w:val="Plain Text"/>
    <w:basedOn w:val="1"/>
    <w:next w:val="13"/>
    <w:qFormat/>
    <w:uiPriority w:val="0"/>
    <w:pPr>
      <w:widowControl/>
      <w:spacing w:before="100" w:beforeAutospacing="1" w:after="100" w:afterAutospacing="1"/>
      <w:jc w:val="left"/>
    </w:pPr>
    <w:rPr>
      <w:rFonts w:ascii="ˎ̥" w:hAnsi="ˎ̥"/>
      <w:kern w:val="0"/>
      <w:sz w:val="18"/>
      <w:szCs w:val="18"/>
    </w:rPr>
  </w:style>
  <w:style w:type="paragraph" w:styleId="13">
    <w:name w:val="List Number 5"/>
    <w:basedOn w:val="1"/>
    <w:semiHidden/>
    <w:unhideWhenUsed/>
    <w:uiPriority w:val="99"/>
    <w:pPr>
      <w:numPr>
        <w:ilvl w:val="0"/>
        <w:numId w:val="2"/>
      </w:numPr>
    </w:p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2"/>
    <w:basedOn w:val="1"/>
    <w:next w:val="1"/>
    <w:autoRedefine/>
    <w:qFormat/>
    <w:uiPriority w:val="0"/>
    <w:pPr>
      <w:ind w:left="420" w:leftChars="200"/>
    </w:pPr>
  </w:style>
  <w:style w:type="character" w:styleId="19">
    <w:name w:val="annotation reference"/>
    <w:autoRedefine/>
    <w:semiHidden/>
    <w:qFormat/>
    <w:uiPriority w:val="0"/>
    <w:rPr>
      <w:sz w:val="21"/>
    </w:rPr>
  </w:style>
  <w:style w:type="paragraph" w:customStyle="1" w:styleId="20">
    <w:name w:val="Default"/>
    <w:basedOn w:val="21"/>
    <w:next w:val="1"/>
    <w:autoRedefine/>
    <w:qFormat/>
    <w:uiPriority w:val="0"/>
    <w:pPr>
      <w:widowControl w:val="0"/>
      <w:tabs>
        <w:tab w:val="left" w:pos="2760"/>
      </w:tabs>
      <w:autoSpaceDE w:val="0"/>
      <w:autoSpaceDN w:val="0"/>
    </w:pPr>
    <w:rPr>
      <w:rFonts w:ascii="仿宋_GB2312" w:hAnsi="仿宋_GB2312" w:eastAsia="仿宋_GB2312" w:cs="Times New Roman"/>
      <w:color w:val="000000"/>
      <w:kern w:val="0"/>
      <w:sz w:val="24"/>
      <w:szCs w:val="22"/>
      <w:lang w:val="en-US" w:eastAsia="zh-CN" w:bidi="ar-SA"/>
    </w:rPr>
  </w:style>
  <w:style w:type="paragraph" w:customStyle="1" w:styleId="21">
    <w:name w:val="纯文本1"/>
    <w:basedOn w:val="1"/>
    <w:autoRedefine/>
    <w:qFormat/>
    <w:uiPriority w:val="0"/>
    <w:pPr>
      <w:tabs>
        <w:tab w:val="left" w:pos="2760"/>
      </w:tabs>
      <w:adjustRightInd w:val="0"/>
    </w:pPr>
    <w:rPr>
      <w:rFonts w:ascii="宋体" w:hAnsi="Courier New"/>
      <w:szCs w:val="20"/>
    </w:rPr>
  </w:style>
  <w:style w:type="paragraph" w:customStyle="1" w:styleId="22">
    <w:name w:val="样式35"/>
    <w:basedOn w:val="1"/>
    <w:next w:val="23"/>
    <w:autoRedefine/>
    <w:qFormat/>
    <w:uiPriority w:val="0"/>
    <w:pPr>
      <w:spacing w:line="312" w:lineRule="auto"/>
      <w:ind w:firstLine="567"/>
    </w:pPr>
    <w:rPr>
      <w:rFonts w:ascii="宋体"/>
      <w:sz w:val="28"/>
    </w:rPr>
  </w:style>
  <w:style w:type="paragraph" w:customStyle="1" w:styleId="23">
    <w:name w:val="font6"/>
    <w:basedOn w:val="1"/>
    <w:next w:val="16"/>
    <w:autoRedefine/>
    <w:qFormat/>
    <w:uiPriority w:val="0"/>
    <w:pPr>
      <w:widowControl/>
      <w:spacing w:before="280" w:after="280"/>
    </w:pPr>
  </w:style>
  <w:style w:type="paragraph" w:customStyle="1" w:styleId="24">
    <w:name w:val="Body Text 21"/>
    <w:basedOn w:val="1"/>
    <w:autoRedefine/>
    <w:qFormat/>
    <w:uiPriority w:val="0"/>
    <w:pPr>
      <w:spacing w:after="120" w:line="480" w:lineRule="auto"/>
    </w:pPr>
  </w:style>
  <w:style w:type="character" w:customStyle="1" w:styleId="25">
    <w:name w:val="正文文本缩进 Char"/>
    <w:basedOn w:val="18"/>
    <w:link w:val="3"/>
    <w:autoRedefine/>
    <w:semiHidden/>
    <w:qFormat/>
    <w:uiPriority w:val="99"/>
    <w:rPr>
      <w:rFonts w:ascii="Times New Roman" w:hAnsi="Times New Roman" w:eastAsia="宋体" w:cs="Times New Roman"/>
      <w:szCs w:val="20"/>
    </w:rPr>
  </w:style>
  <w:style w:type="character" w:customStyle="1" w:styleId="26">
    <w:name w:val="正文首行缩进 2 Char"/>
    <w:basedOn w:val="25"/>
    <w:link w:val="2"/>
    <w:autoRedefine/>
    <w:semiHidden/>
    <w:qFormat/>
    <w:uiPriority w:val="99"/>
  </w:style>
  <w:style w:type="paragraph" w:customStyle="1" w:styleId="27">
    <w:name w:val="样式 首行缩进:  2 字符1"/>
    <w:basedOn w:val="1"/>
    <w:autoRedefine/>
    <w:qFormat/>
    <w:uiPriority w:val="0"/>
    <w:pPr>
      <w:adjustRightInd w:val="0"/>
      <w:snapToGrid w:val="0"/>
      <w:spacing w:line="360" w:lineRule="auto"/>
      <w:ind w:firstLine="480"/>
    </w:pPr>
    <w:rPr>
      <w:rFonts w:cs="宋体"/>
    </w:rPr>
  </w:style>
  <w:style w:type="paragraph" w:customStyle="1" w:styleId="28">
    <w:name w:val="Table Paragraph"/>
    <w:basedOn w:val="1"/>
    <w:autoRedefine/>
    <w:qFormat/>
    <w:uiPriority w:val="1"/>
    <w:rPr>
      <w:rFonts w:ascii="宋体" w:hAnsi="宋体" w:cs="宋体"/>
      <w:lang w:val="zh-CN" w:bidi="zh-CN"/>
    </w:rPr>
  </w:style>
  <w:style w:type="paragraph" w:customStyle="1" w:styleId="29">
    <w:name w:val="表格内"/>
    <w:basedOn w:val="1"/>
    <w:autoRedefine/>
    <w:qFormat/>
    <w:uiPriority w:val="0"/>
    <w:pPr>
      <w:keepNext w:val="0"/>
      <w:keepLines w:val="0"/>
      <w:widowControl/>
      <w:suppressLineNumbers w:val="0"/>
      <w:adjustRightInd w:val="0"/>
      <w:snapToGrid w:val="0"/>
      <w:spacing w:before="0" w:beforeAutospacing="0" w:after="200" w:afterAutospacing="0" w:line="360" w:lineRule="exact"/>
      <w:ind w:left="0" w:right="0" w:firstLine="720" w:firstLineChars="200"/>
      <w:jc w:val="center"/>
    </w:pPr>
    <w:rPr>
      <w:rFonts w:hint="default" w:ascii="Calibri" w:hAnsi="Calibri" w:eastAsia="微软雅黑" w:cs="Calibri"/>
      <w:kern w:val="0"/>
      <w:sz w:val="22"/>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1658</Words>
  <Characters>1791</Characters>
  <Lines>13</Lines>
  <Paragraphs>3</Paragraphs>
  <TotalTime>0</TotalTime>
  <ScaleCrop>false</ScaleCrop>
  <LinksUpToDate>false</LinksUpToDate>
  <CharactersWithSpaces>1824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2019-12-11T03:00:00Z</dcterms:created>
  <dc:creator>China</dc:creator>
  <cp:lastModifiedBy>Hoder</cp:lastModifiedBy>
  <cp:lastPrinted>2025-04-23T11:41:00Z</cp:lastPrinted>
  <dcterms:modified xsi:type="dcterms:W3CDTF">2025-05-06T04:05:46Z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0116149A9AFF4AA7BF0B02BEB2C24BC1_13</vt:lpwstr>
  </property>
  <property fmtid="{D5CDD505-2E9C-101B-9397-08002B2CF9AE}" pid="4" name="KSOTemplateDocerSaveRecord">
    <vt:lpwstr>eyJoZGlkIjoiZmE2MTdkZmZkMzkyOTA2OWRhNDI2MGM5YjUyYzcyNWMiLCJ1c2VySWQiOiIzMTA4NzQ1OTMifQ==</vt:lpwstr>
  </property>
</Properties>
</file>