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9547D">
      <w:pPr>
        <w:spacing w:line="560" w:lineRule="exact"/>
        <w:ind w:firstLine="640" w:firstLineChars="200"/>
        <w:jc w:val="center"/>
        <w:rPr>
          <w:rFonts w:hint="eastAsia" w:ascii="仿宋_GB2312" w:hAnsi="仿宋_GB2312" w:eastAsia="仿宋_GB2312" w:cs="仿宋_GB2312"/>
          <w:sz w:val="32"/>
          <w:szCs w:val="32"/>
          <w:highlight w:val="none"/>
        </w:rPr>
      </w:pPr>
      <w:bookmarkStart w:id="0" w:name="OLE_LINK9"/>
      <w:bookmarkStart w:id="1" w:name="OLE_LINK1"/>
    </w:p>
    <w:p w14:paraId="78D5AF8A">
      <w:pPr>
        <w:pStyle w:val="18"/>
        <w:spacing w:line="560" w:lineRule="exact"/>
        <w:ind w:firstLine="640" w:firstLineChars="200"/>
        <w:jc w:val="center"/>
        <w:rPr>
          <w:rFonts w:hint="eastAsia" w:cs="仿宋_GB2312"/>
          <w:color w:val="auto"/>
          <w:sz w:val="32"/>
          <w:szCs w:val="32"/>
          <w:highlight w:val="none"/>
        </w:rPr>
      </w:pPr>
    </w:p>
    <w:p w14:paraId="52C76B7C">
      <w:pPr>
        <w:pStyle w:val="18"/>
        <w:spacing w:line="560" w:lineRule="exact"/>
        <w:ind w:firstLine="640" w:firstLineChars="200"/>
        <w:jc w:val="center"/>
        <w:rPr>
          <w:rFonts w:hint="eastAsia" w:cs="仿宋_GB2312"/>
          <w:color w:val="auto"/>
          <w:sz w:val="32"/>
          <w:szCs w:val="32"/>
          <w:highlight w:val="none"/>
        </w:rPr>
      </w:pPr>
    </w:p>
    <w:p w14:paraId="1A34CEB7">
      <w:pPr>
        <w:pStyle w:val="18"/>
        <w:spacing w:line="560" w:lineRule="exact"/>
        <w:ind w:firstLine="640" w:firstLineChars="200"/>
        <w:jc w:val="center"/>
        <w:rPr>
          <w:rFonts w:hint="eastAsia" w:cs="仿宋_GB2312"/>
          <w:color w:val="auto"/>
          <w:sz w:val="32"/>
          <w:szCs w:val="32"/>
          <w:highlight w:val="none"/>
        </w:rPr>
      </w:pPr>
    </w:p>
    <w:p w14:paraId="00DC9702">
      <w:pPr>
        <w:pStyle w:val="18"/>
        <w:spacing w:line="560" w:lineRule="exact"/>
        <w:ind w:firstLine="640" w:firstLineChars="200"/>
        <w:jc w:val="center"/>
        <w:rPr>
          <w:rFonts w:hint="eastAsia" w:cs="仿宋_GB2312"/>
          <w:color w:val="auto"/>
          <w:sz w:val="32"/>
          <w:szCs w:val="32"/>
          <w:highlight w:val="none"/>
        </w:rPr>
      </w:pPr>
    </w:p>
    <w:p w14:paraId="51ADA560">
      <w:pPr>
        <w:pStyle w:val="18"/>
        <w:spacing w:line="560" w:lineRule="exact"/>
        <w:ind w:firstLine="640" w:firstLineChars="200"/>
        <w:jc w:val="center"/>
        <w:rPr>
          <w:rFonts w:hint="eastAsia" w:cs="仿宋_GB2312"/>
          <w:color w:val="auto"/>
          <w:sz w:val="32"/>
          <w:szCs w:val="32"/>
          <w:highlight w:val="none"/>
        </w:rPr>
      </w:pPr>
    </w:p>
    <w:p w14:paraId="1308F237">
      <w:pPr>
        <w:pStyle w:val="18"/>
        <w:spacing w:line="560" w:lineRule="exact"/>
        <w:ind w:firstLine="640" w:firstLineChars="200"/>
        <w:jc w:val="center"/>
        <w:rPr>
          <w:rFonts w:hint="eastAsia" w:cs="仿宋_GB2312"/>
          <w:color w:val="auto"/>
          <w:sz w:val="32"/>
          <w:szCs w:val="32"/>
          <w:highlight w:val="none"/>
        </w:rPr>
      </w:pPr>
    </w:p>
    <w:p w14:paraId="37252B11">
      <w:pPr>
        <w:spacing w:line="560" w:lineRule="exact"/>
        <w:ind w:firstLine="640" w:firstLineChars="200"/>
        <w:jc w:val="center"/>
        <w:rPr>
          <w:rFonts w:eastAsia="楷体_GB2312"/>
          <w:sz w:val="32"/>
          <w:szCs w:val="32"/>
          <w:highlight w:val="none"/>
        </w:rPr>
      </w:pPr>
      <w:r>
        <w:rPr>
          <w:rFonts w:hint="eastAsia" w:eastAsia="楷体_GB2312"/>
          <w:sz w:val="32"/>
          <w:szCs w:val="32"/>
          <w:highlight w:val="none"/>
        </w:rPr>
        <w:t>新准环评〔</w:t>
      </w:r>
      <w:r>
        <w:rPr>
          <w:rFonts w:eastAsia="楷体_GB2312"/>
          <w:sz w:val="32"/>
          <w:szCs w:val="32"/>
          <w:highlight w:val="none"/>
        </w:rPr>
        <w:t>20</w:t>
      </w:r>
      <w:r>
        <w:rPr>
          <w:rFonts w:hint="eastAsia" w:eastAsia="楷体_GB2312"/>
          <w:sz w:val="32"/>
          <w:szCs w:val="32"/>
          <w:highlight w:val="none"/>
        </w:rPr>
        <w:t>24〕</w:t>
      </w:r>
      <w:r>
        <w:rPr>
          <w:rFonts w:hint="eastAsia" w:eastAsia="楷体_GB2312"/>
          <w:sz w:val="32"/>
          <w:szCs w:val="32"/>
          <w:highlight w:val="none"/>
          <w:lang w:val="en-US" w:eastAsia="zh-CN"/>
        </w:rPr>
        <w:t>3</w:t>
      </w:r>
      <w:r>
        <w:rPr>
          <w:rFonts w:hint="eastAsia" w:eastAsia="楷体_GB2312"/>
          <w:sz w:val="32"/>
          <w:szCs w:val="32"/>
          <w:highlight w:val="none"/>
        </w:rPr>
        <w:t>9号</w:t>
      </w:r>
    </w:p>
    <w:p w14:paraId="23B9963A">
      <w:pPr>
        <w:spacing w:line="560" w:lineRule="exact"/>
        <w:ind w:firstLine="880" w:firstLineChars="200"/>
        <w:jc w:val="center"/>
        <w:rPr>
          <w:rFonts w:hint="eastAsia" w:ascii="方正小标宋简体" w:hAnsi="方正小标宋简体" w:eastAsia="方正小标宋简体" w:cs="方正小标宋简体"/>
          <w:sz w:val="44"/>
          <w:szCs w:val="44"/>
          <w:highlight w:val="none"/>
        </w:rPr>
      </w:pPr>
    </w:p>
    <w:p w14:paraId="31DB83CB">
      <w:pPr>
        <w:autoSpaceDE w:val="0"/>
        <w:autoSpaceDN w:val="0"/>
        <w:adjustRightInd w:val="0"/>
        <w:spacing w:line="560" w:lineRule="exact"/>
        <w:jc w:val="center"/>
        <w:rPr>
          <w:rFonts w:eastAsia="方正小标宋简体"/>
          <w:sz w:val="44"/>
          <w:szCs w:val="44"/>
          <w:highlight w:val="none"/>
        </w:rPr>
      </w:pPr>
      <w:r>
        <w:rPr>
          <w:rFonts w:hint="eastAsia" w:ascii="Times New Roman" w:hAnsi="Times New Roman" w:eastAsia="方正小标宋简体" w:cs="Times New Roman"/>
          <w:sz w:val="44"/>
          <w:szCs w:val="44"/>
          <w:highlight w:val="none"/>
        </w:rPr>
        <w:t>关于《</w:t>
      </w:r>
      <w:r>
        <w:rPr>
          <w:rFonts w:hint="eastAsia" w:ascii="Times New Roman" w:hAnsi="Times New Roman" w:eastAsia="方正小标宋简体" w:cs="Times New Roman"/>
          <w:sz w:val="44"/>
          <w:szCs w:val="44"/>
          <w:highlight w:val="none"/>
          <w:lang w:val="en-US" w:eastAsia="zh-CN"/>
        </w:rPr>
        <w:t>新疆伟泽综合能源开发有限公司尾气发电厂烟气余热综合利用烘干项目（重大变动）</w:t>
      </w:r>
      <w:r>
        <w:rPr>
          <w:rFonts w:hint="eastAsia" w:ascii="Times New Roman" w:hAnsi="Times New Roman" w:eastAsia="方正小标宋简体" w:cs="Times New Roman"/>
          <w:sz w:val="44"/>
          <w:szCs w:val="44"/>
          <w:highlight w:val="none"/>
        </w:rPr>
        <w:t>环境影响报告表》</w:t>
      </w:r>
      <w:r>
        <w:rPr>
          <w:rFonts w:hint="eastAsia" w:eastAsia="方正小标宋简体"/>
          <w:sz w:val="44"/>
          <w:szCs w:val="44"/>
          <w:highlight w:val="none"/>
        </w:rPr>
        <w:t>的批复</w:t>
      </w:r>
    </w:p>
    <w:p w14:paraId="7DA344C0">
      <w:pPr>
        <w:autoSpaceDE w:val="0"/>
        <w:autoSpaceDN w:val="0"/>
        <w:adjustRightInd w:val="0"/>
        <w:spacing w:line="560" w:lineRule="exact"/>
        <w:ind w:firstLine="640" w:firstLineChars="200"/>
        <w:rPr>
          <w:rFonts w:hint="eastAsia" w:ascii="仿宋_GB2312" w:hAnsi="仿宋_GB2312" w:eastAsia="仿宋_GB2312" w:cs="仿宋_GB2312"/>
          <w:sz w:val="32"/>
          <w:szCs w:val="32"/>
          <w:highlight w:val="none"/>
        </w:rPr>
      </w:pPr>
    </w:p>
    <w:bookmarkEnd w:id="0"/>
    <w:bookmarkEnd w:id="1"/>
    <w:p w14:paraId="48D08F93">
      <w:pPr>
        <w:spacing w:line="560" w:lineRule="exact"/>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新疆伟泽综合能源开发有限公司：</w:t>
      </w:r>
    </w:p>
    <w:p w14:paraId="244B9435">
      <w:pPr>
        <w:spacing w:line="56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你公司委托昌吉市新瑞鑫诚环保咨询服务有限公司编制的《新疆伟泽综合能源开发有限公司尾气发电厂烟气余热综合利用烘干项目（重大变动）环境影响报告表》及申请材料已收悉。经研究，现批复如下：</w:t>
      </w:r>
    </w:p>
    <w:p w14:paraId="4AA6BCB9">
      <w:pPr>
        <w:numPr>
          <w:ilvl w:val="0"/>
          <w:numId w:val="2"/>
        </w:num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项目位于新疆准东经济技术开发区</w:t>
      </w:r>
      <w:r>
        <w:rPr>
          <w:rFonts w:hint="eastAsia" w:eastAsia="仿宋_GB2312" w:cs="Times New Roman"/>
          <w:sz w:val="32"/>
          <w:szCs w:val="32"/>
          <w:highlight w:val="none"/>
          <w:lang w:eastAsia="zh-CN"/>
        </w:rPr>
        <w:t>东部产业集中区</w:t>
      </w:r>
      <w:r>
        <w:rPr>
          <w:rFonts w:hint="default" w:ascii="Times New Roman" w:hAnsi="Times New Roman" w:eastAsia="仿宋_GB2312" w:cs="Times New Roman"/>
          <w:sz w:val="32"/>
          <w:szCs w:val="32"/>
          <w:highlight w:val="none"/>
          <w:lang w:val="en-US" w:eastAsia="zh-CN"/>
        </w:rPr>
        <w:t>老君庙</w:t>
      </w:r>
      <w:r>
        <w:rPr>
          <w:rFonts w:hint="eastAsia" w:ascii="Times New Roman" w:hAnsi="Times New Roman" w:eastAsia="仿宋_GB2312" w:cs="Times New Roman"/>
          <w:sz w:val="32"/>
          <w:szCs w:val="32"/>
          <w:highlight w:val="none"/>
          <w:lang w:val="en-US" w:eastAsia="zh-CN"/>
        </w:rPr>
        <w:t>产业</w:t>
      </w:r>
      <w:r>
        <w:rPr>
          <w:rFonts w:hint="default" w:ascii="Times New Roman" w:hAnsi="Times New Roman" w:eastAsia="仿宋_GB2312" w:cs="Times New Roman"/>
          <w:sz w:val="32"/>
          <w:szCs w:val="32"/>
          <w:highlight w:val="none"/>
          <w:lang w:val="en-US" w:eastAsia="zh-CN"/>
        </w:rPr>
        <w:t>园新疆伟泽综合能源开发有限公司厂区</w:t>
      </w:r>
      <w:r>
        <w:rPr>
          <w:rFonts w:hint="eastAsia" w:ascii="Times New Roman" w:hAnsi="Times New Roman" w:eastAsia="仿宋_GB2312" w:cs="Times New Roman"/>
          <w:sz w:val="32"/>
          <w:szCs w:val="32"/>
          <w:highlight w:val="none"/>
          <w:lang w:val="en-US" w:eastAsia="zh-CN"/>
        </w:rPr>
        <w:t>内</w:t>
      </w:r>
      <w:r>
        <w:rPr>
          <w:rFonts w:hint="eastAsia" w:ascii="Times New Roman" w:hAnsi="Times New Roman" w:eastAsia="仿宋_GB2312" w:cs="Times New Roman"/>
          <w:sz w:val="32"/>
          <w:szCs w:val="32"/>
          <w:highlight w:val="none"/>
        </w:rPr>
        <w:t>，项目</w:t>
      </w:r>
      <w:r>
        <w:rPr>
          <w:rFonts w:ascii="Times New Roman" w:hAnsi="Times New Roman" w:eastAsia="仿宋_GB2312" w:cs="Times New Roman"/>
          <w:sz w:val="32"/>
          <w:szCs w:val="32"/>
          <w:highlight w:val="none"/>
        </w:rPr>
        <w:t>为</w:t>
      </w:r>
      <w:r>
        <w:rPr>
          <w:rFonts w:hint="eastAsia" w:ascii="Times New Roman" w:hAnsi="Times New Roman" w:eastAsia="仿宋_GB2312" w:cs="Times New Roman"/>
          <w:sz w:val="32"/>
          <w:szCs w:val="32"/>
          <w:highlight w:val="none"/>
          <w:lang w:val="en-US" w:eastAsia="zh-CN"/>
        </w:rPr>
        <w:t>改</w:t>
      </w:r>
      <w:r>
        <w:rPr>
          <w:rFonts w:ascii="Times New Roman" w:hAnsi="Times New Roman" w:eastAsia="仿宋_GB2312" w:cs="Times New Roman"/>
          <w:sz w:val="32"/>
          <w:szCs w:val="32"/>
          <w:highlight w:val="none"/>
        </w:rPr>
        <w:t>建项目，</w:t>
      </w:r>
      <w:r>
        <w:rPr>
          <w:rFonts w:hint="eastAsia" w:eastAsia="仿宋_GB2312"/>
          <w:sz w:val="32"/>
          <w:szCs w:val="32"/>
          <w:highlight w:val="none"/>
        </w:rPr>
        <w:t>该项目于2021年3月4日取得了《关于尾气发电厂烟气余热综合利用烘干项目环境影响报告表的批复》（新准环评〔2021〕02号），2024年建设过程中因兰炭产能未满产，尾气发电厂无法正常运行，无法利用发电厂烟气余热作为热源，拟新建一台热风</w:t>
      </w:r>
      <w:r>
        <w:rPr>
          <w:rFonts w:hint="eastAsia" w:eastAsia="仿宋_GB2312"/>
          <w:sz w:val="32"/>
          <w:szCs w:val="32"/>
          <w:highlight w:val="none"/>
          <w:lang w:val="en-US" w:eastAsia="zh-CN"/>
        </w:rPr>
        <w:t>机</w:t>
      </w:r>
      <w:r>
        <w:rPr>
          <w:rFonts w:hint="eastAsia" w:eastAsia="仿宋_GB2312"/>
          <w:sz w:val="32"/>
          <w:szCs w:val="32"/>
          <w:highlight w:val="none"/>
        </w:rPr>
        <w:t>，利用兰炭生产过程中净化后的煤气为燃料，为兰炭中料和洁净炭烘干项目提供热源。根据《关于印发〈新疆维吾尔自治区环境影响评价管理中建设项目重大变动界定程序规定〉的通知》和《关于印发〈污染影响类建设项目重大变动清单〉（试行）的通知》（环办环评函〔2020〕688号）相关要求，该项目属于重大变动，本次为该项目重新报批。</w:t>
      </w:r>
    </w:p>
    <w:p w14:paraId="758C2FA7">
      <w:pPr>
        <w:numPr>
          <w:ilvl w:val="0"/>
          <w:numId w:val="0"/>
        </w:numPr>
        <w:spacing w:line="560" w:lineRule="exact"/>
        <w:ind w:firstLine="640" w:firstLineChars="200"/>
        <w:rPr>
          <w:rFonts w:hint="default" w:eastAsia="仿宋_GB2312"/>
          <w:sz w:val="32"/>
          <w:szCs w:val="32"/>
          <w:highlight w:val="none"/>
          <w:lang w:val="en-US"/>
        </w:rPr>
      </w:pPr>
      <w:r>
        <w:rPr>
          <w:rFonts w:hint="eastAsia" w:eastAsia="仿宋_GB2312" w:cs="Times New Roman"/>
          <w:sz w:val="32"/>
          <w:szCs w:val="32"/>
          <w:highlight w:val="none"/>
          <w:lang w:val="en-US" w:eastAsia="zh-CN"/>
        </w:rPr>
        <w:t>主体工程：</w:t>
      </w:r>
      <w:r>
        <w:rPr>
          <w:rFonts w:hint="default" w:ascii="Times New Roman" w:hAnsi="Times New Roman" w:eastAsia="仿宋_GB2312" w:cs="Times New Roman"/>
          <w:sz w:val="32"/>
          <w:szCs w:val="32"/>
          <w:highlight w:val="none"/>
          <w:lang w:val="en-US" w:eastAsia="zh-CN"/>
        </w:rPr>
        <w:t>新建</w:t>
      </w:r>
      <w:r>
        <w:rPr>
          <w:rFonts w:hint="eastAsia"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val="en-US" w:eastAsia="zh-CN"/>
        </w:rPr>
        <w:t>台</w:t>
      </w:r>
      <w:r>
        <w:rPr>
          <w:rFonts w:hint="eastAsia" w:eastAsia="仿宋_GB2312" w:cs="Times New Roman"/>
          <w:sz w:val="32"/>
          <w:szCs w:val="32"/>
          <w:highlight w:val="none"/>
          <w:lang w:val="en-US" w:eastAsia="zh-CN"/>
        </w:rPr>
        <w:t>132千瓦</w:t>
      </w:r>
      <w:r>
        <w:rPr>
          <w:rFonts w:hint="eastAsia" w:ascii="Times New Roman" w:hAnsi="Times New Roman" w:eastAsia="仿宋_GB2312" w:cs="Times New Roman"/>
          <w:sz w:val="32"/>
          <w:szCs w:val="32"/>
          <w:highlight w:val="none"/>
          <w:lang w:val="en-US" w:eastAsia="zh-CN"/>
        </w:rPr>
        <w:t>热风</w:t>
      </w:r>
      <w:r>
        <w:rPr>
          <w:rFonts w:hint="eastAsia" w:eastAsia="仿宋_GB2312" w:cs="Times New Roman"/>
          <w:sz w:val="32"/>
          <w:szCs w:val="32"/>
          <w:highlight w:val="none"/>
          <w:lang w:val="en-US" w:eastAsia="zh-CN"/>
        </w:rPr>
        <w:t>机</w:t>
      </w:r>
      <w:r>
        <w:rPr>
          <w:rFonts w:hint="default" w:ascii="Times New Roman" w:hAnsi="Times New Roman" w:eastAsia="仿宋_GB2312" w:cs="Times New Roman"/>
          <w:sz w:val="32"/>
          <w:szCs w:val="32"/>
          <w:highlight w:val="none"/>
          <w:lang w:val="en-US" w:eastAsia="zh-CN"/>
        </w:rPr>
        <w:t>，利用兰炭生产过程中</w:t>
      </w:r>
      <w:r>
        <w:rPr>
          <w:rFonts w:hint="eastAsia" w:ascii="Times New Roman" w:hAnsi="Times New Roman" w:eastAsia="仿宋_GB2312" w:cs="Times New Roman"/>
          <w:sz w:val="32"/>
          <w:szCs w:val="32"/>
          <w:highlight w:val="none"/>
          <w:lang w:val="en-US" w:eastAsia="zh-CN"/>
        </w:rPr>
        <w:t>净化后的</w:t>
      </w:r>
      <w:r>
        <w:rPr>
          <w:rFonts w:hint="default" w:ascii="Times New Roman" w:hAnsi="Times New Roman" w:eastAsia="仿宋_GB2312" w:cs="Times New Roman"/>
          <w:sz w:val="32"/>
          <w:szCs w:val="32"/>
          <w:highlight w:val="none"/>
          <w:lang w:val="en-US" w:eastAsia="zh-CN"/>
        </w:rPr>
        <w:t>煤气为燃料，为兰炭中料和洁净炭</w:t>
      </w:r>
      <w:r>
        <w:rPr>
          <w:rFonts w:hint="eastAsia" w:ascii="Times New Roman" w:hAnsi="Times New Roman" w:eastAsia="仿宋_GB2312" w:cs="Times New Roman"/>
          <w:sz w:val="32"/>
          <w:szCs w:val="32"/>
          <w:highlight w:val="none"/>
          <w:lang w:val="en-US" w:eastAsia="zh-CN"/>
        </w:rPr>
        <w:t>烘干项目</w:t>
      </w:r>
      <w:r>
        <w:rPr>
          <w:rFonts w:hint="default" w:ascii="Times New Roman" w:hAnsi="Times New Roman" w:eastAsia="仿宋_GB2312" w:cs="Times New Roman"/>
          <w:sz w:val="32"/>
          <w:szCs w:val="32"/>
          <w:highlight w:val="none"/>
          <w:lang w:val="en-US" w:eastAsia="zh-CN"/>
        </w:rPr>
        <w:t>提供热源</w:t>
      </w:r>
      <w:r>
        <w:rPr>
          <w:rFonts w:hint="eastAsia" w:eastAsia="仿宋_GB2312" w:cs="Times New Roman"/>
          <w:sz w:val="32"/>
          <w:szCs w:val="32"/>
          <w:highlight w:val="none"/>
          <w:lang w:val="en-US" w:eastAsia="zh-CN"/>
        </w:rPr>
        <w:t>。</w:t>
      </w:r>
    </w:p>
    <w:p w14:paraId="59CEFB4C">
      <w:pPr>
        <w:pStyle w:val="3"/>
        <w:spacing w:line="560" w:lineRule="exact"/>
        <w:ind w:firstLine="640" w:firstLineChars="200"/>
        <w:rPr>
          <w:rFonts w:hint="eastAsia" w:eastAsia="仿宋_GB2312"/>
          <w:sz w:val="32"/>
          <w:szCs w:val="32"/>
          <w:highlight w:val="none"/>
        </w:rPr>
      </w:pPr>
      <w:r>
        <w:rPr>
          <w:rFonts w:hint="eastAsia" w:eastAsia="仿宋_GB2312"/>
          <w:sz w:val="32"/>
          <w:szCs w:val="32"/>
          <w:highlight w:val="none"/>
        </w:rPr>
        <w:t>环保工程：</w:t>
      </w:r>
      <w:r>
        <w:rPr>
          <w:rFonts w:hint="eastAsia" w:eastAsia="仿宋_GB2312"/>
          <w:sz w:val="32"/>
          <w:szCs w:val="32"/>
          <w:highlight w:val="none"/>
          <w:lang w:val="en-US" w:eastAsia="zh-CN"/>
        </w:rPr>
        <w:t>新增3</w:t>
      </w:r>
      <w:r>
        <w:rPr>
          <w:rFonts w:hint="eastAsia" w:eastAsia="仿宋_GB2312"/>
          <w:sz w:val="32"/>
          <w:szCs w:val="32"/>
          <w:highlight w:val="none"/>
        </w:rPr>
        <w:t>套布袋除尘器</w:t>
      </w:r>
      <w:r>
        <w:rPr>
          <w:rFonts w:hint="eastAsia" w:eastAsia="仿宋_GB2312"/>
          <w:sz w:val="32"/>
          <w:szCs w:val="32"/>
          <w:highlight w:val="none"/>
          <w:lang w:val="en-US" w:eastAsia="zh-CN"/>
        </w:rPr>
        <w:t>与3根</w:t>
      </w:r>
      <w:r>
        <w:rPr>
          <w:rFonts w:hint="eastAsia" w:eastAsia="仿宋_GB2312"/>
          <w:sz w:val="32"/>
          <w:szCs w:val="32"/>
          <w:highlight w:val="none"/>
        </w:rPr>
        <w:t>15m高排气筒。</w:t>
      </w:r>
    </w:p>
    <w:p w14:paraId="41302302">
      <w:pPr>
        <w:pStyle w:val="7"/>
        <w:numPr>
          <w:ilvl w:val="0"/>
          <w:numId w:val="3"/>
        </w:numPr>
        <w:spacing w:line="560" w:lineRule="exact"/>
        <w:ind w:firstLine="640" w:firstLineChars="200"/>
        <w:rPr>
          <w:rFonts w:eastAsia="仿宋_GB2312"/>
          <w:sz w:val="32"/>
          <w:szCs w:val="32"/>
          <w:highlight w:val="none"/>
        </w:rPr>
      </w:pPr>
      <w:r>
        <w:rPr>
          <w:rFonts w:eastAsia="仿宋_GB2312"/>
          <w:sz w:val="32"/>
          <w:szCs w:val="32"/>
          <w:highlight w:val="none"/>
        </w:rPr>
        <w:t>我局原则同意你公司环境影响报告中所列建设项目规模、工艺、地点和环境保护对策措施。</w:t>
      </w:r>
    </w:p>
    <w:p w14:paraId="4C455003">
      <w:pPr>
        <w:pStyle w:val="7"/>
        <w:spacing w:line="560" w:lineRule="exact"/>
        <w:ind w:firstLine="640" w:firstLineChars="200"/>
        <w:rPr>
          <w:rFonts w:eastAsia="仿宋_GB2312"/>
          <w:color w:val="0000FF"/>
          <w:sz w:val="32"/>
          <w:szCs w:val="32"/>
          <w:highlight w:val="none"/>
        </w:rPr>
      </w:pPr>
      <w:r>
        <w:rPr>
          <w:rFonts w:eastAsia="仿宋_GB2312"/>
          <w:sz w:val="32"/>
          <w:szCs w:val="32"/>
          <w:highlight w:val="none"/>
        </w:rPr>
        <w:t>三、</w:t>
      </w:r>
      <w:r>
        <w:rPr>
          <w:rFonts w:eastAsia="仿宋_GB2312"/>
          <w:bCs/>
          <w:sz w:val="32"/>
          <w:szCs w:val="32"/>
          <w:highlight w:val="none"/>
        </w:rPr>
        <w:t>项目建设和运行管理中应重点做好以下工作</w:t>
      </w:r>
    </w:p>
    <w:p w14:paraId="6557ECAE">
      <w:pPr>
        <w:spacing w:line="560" w:lineRule="exact"/>
        <w:ind w:firstLine="640" w:firstLineChars="200"/>
        <w:rPr>
          <w:rFonts w:eastAsia="仿宋_GB2312"/>
          <w:sz w:val="32"/>
          <w:szCs w:val="32"/>
          <w:highlight w:val="none"/>
        </w:rPr>
      </w:pPr>
      <w:r>
        <w:rPr>
          <w:rFonts w:hint="eastAsia" w:eastAsia="仿宋_GB2312"/>
          <w:sz w:val="32"/>
          <w:szCs w:val="32"/>
          <w:highlight w:val="none"/>
        </w:rPr>
        <w:t>（一）严格落实施工期各项环保措施。制定施工期污染防治计划，加强施工期环境管理，加强施工人员的环保教育和培训。建筑垃圾收集后可利用的进行再利用，不可利用的由施工方统一清运至建筑垃圾填埋场。科学规划施工场地，合理安排施工进度，及时恢复土地原有功能，严禁大风天气开展易产生扬尘的施工作业。严格按照环境影响评价报告施工期各项污染防治措施。采取有效措施，确保施工期扬尘、废水、噪声等达标排放。</w:t>
      </w:r>
    </w:p>
    <w:p w14:paraId="75F1C284">
      <w:pPr>
        <w:spacing w:line="560" w:lineRule="exact"/>
        <w:ind w:firstLine="640" w:firstLineChars="200"/>
        <w:jc w:val="both"/>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二）严格落实大气污染防治措施。运营期兰炭投料废气采取集气罩收集后，经布袋除尘器处理达到《煤炭工业污染物排放标准》（GB20426－2006）表4中的限值要求后，由15m高排气筒（DA001）排放；破碎设备采取密闭措施，破碎废气经布袋除尘器处理达标后经15m高排气筒（DA002）排放，废气中颗粒物需满足《煤炭工业污染物排放标准》（GB20426－2006）表4中的限值；热风炉使用经干湿结合脱硫脱氨工艺处理净化后的煤气作为燃料，烘干废气经布袋除尘器处理达到《新疆维吾尔自治区工业炉窑大气污染综合治理实施方案》中排放限值要求后经15m高排气筒（DA003）排放。厂界无组织颗粒物需满足《煤炭工业污染物排放标准》（GB20426－2006）表5中的限值要求。</w:t>
      </w:r>
    </w:p>
    <w:p w14:paraId="6C105CFC">
      <w:pPr>
        <w:numPr>
          <w:ilvl w:val="255"/>
          <w:numId w:val="0"/>
        </w:numPr>
        <w:spacing w:line="560" w:lineRule="exact"/>
        <w:ind w:firstLine="640" w:firstLineChars="200"/>
        <w:rPr>
          <w:rFonts w:eastAsia="仿宋_GB2312"/>
          <w:sz w:val="32"/>
          <w:szCs w:val="32"/>
          <w:highlight w:val="none"/>
        </w:rPr>
      </w:pPr>
      <w:r>
        <w:rPr>
          <w:rFonts w:hint="eastAsia" w:eastAsia="仿宋_GB2312"/>
          <w:sz w:val="32"/>
          <w:szCs w:val="32"/>
          <w:highlight w:val="none"/>
        </w:rPr>
        <w:t>（三）严格落实水环境保护措施：生活污水依托</w:t>
      </w:r>
      <w:r>
        <w:rPr>
          <w:rFonts w:hint="eastAsia" w:ascii="Times New Roman" w:hAnsi="Times New Roman" w:eastAsia="仿宋_GB2312" w:cs="Times New Roman"/>
          <w:sz w:val="32"/>
          <w:szCs w:val="32"/>
          <w:highlight w:val="none"/>
          <w:lang w:val="en-US" w:eastAsia="zh-CN"/>
        </w:rPr>
        <w:t>新疆伟泽综合能源开发有限公司</w:t>
      </w:r>
      <w:r>
        <w:rPr>
          <w:rFonts w:hint="eastAsia" w:eastAsia="仿宋_GB2312"/>
          <w:sz w:val="32"/>
          <w:szCs w:val="32"/>
          <w:highlight w:val="none"/>
        </w:rPr>
        <w:t>现有污水处理站进行处理</w:t>
      </w:r>
      <w:r>
        <w:rPr>
          <w:rFonts w:hint="eastAsia" w:eastAsia="仿宋_GB2312"/>
          <w:sz w:val="32"/>
          <w:szCs w:val="32"/>
          <w:highlight w:val="none"/>
          <w:lang w:val="en-US" w:eastAsia="zh-CN"/>
        </w:rPr>
        <w:t>后回用，不外排</w:t>
      </w:r>
      <w:r>
        <w:rPr>
          <w:rFonts w:hint="eastAsia" w:eastAsia="仿宋_GB2312"/>
          <w:sz w:val="32"/>
          <w:szCs w:val="32"/>
          <w:highlight w:val="none"/>
        </w:rPr>
        <w:t>。</w:t>
      </w:r>
    </w:p>
    <w:p w14:paraId="664EA415">
      <w:pPr>
        <w:spacing w:line="560" w:lineRule="exact"/>
        <w:ind w:firstLine="640" w:firstLineChars="200"/>
        <w:rPr>
          <w:rFonts w:eastAsia="仿宋_GB2312"/>
          <w:sz w:val="32"/>
          <w:szCs w:val="32"/>
          <w:highlight w:val="none"/>
        </w:rPr>
      </w:pPr>
      <w:r>
        <w:rPr>
          <w:rFonts w:hint="eastAsia" w:eastAsia="仿宋_GB2312"/>
          <w:sz w:val="32"/>
          <w:szCs w:val="32"/>
          <w:highlight w:val="none"/>
        </w:rPr>
        <w:t>（四）严格落实噪声污染防治措施：</w:t>
      </w:r>
      <w:r>
        <w:rPr>
          <w:rFonts w:eastAsia="仿宋_GB2312"/>
          <w:sz w:val="32"/>
          <w:szCs w:val="32"/>
          <w:highlight w:val="none"/>
        </w:rPr>
        <w:t>采取基础减振等降噪措施，</w:t>
      </w:r>
      <w:r>
        <w:rPr>
          <w:rFonts w:hint="eastAsia" w:eastAsia="仿宋_GB2312"/>
          <w:sz w:val="32"/>
          <w:szCs w:val="32"/>
          <w:highlight w:val="none"/>
        </w:rPr>
        <w:t>加强管理，确保场界噪声排放满足《工业企业厂界环境噪声排放标准》(GB12348-2008）</w:t>
      </w:r>
      <w:r>
        <w:rPr>
          <w:rFonts w:hint="eastAsia" w:eastAsia="仿宋_GB2312"/>
          <w:color w:val="auto"/>
          <w:sz w:val="32"/>
          <w:szCs w:val="32"/>
          <w:highlight w:val="none"/>
        </w:rPr>
        <w:t>中</w:t>
      </w:r>
      <w:r>
        <w:rPr>
          <w:rFonts w:hint="eastAsia" w:eastAsia="仿宋_GB2312"/>
          <w:color w:val="auto"/>
          <w:sz w:val="32"/>
          <w:szCs w:val="32"/>
          <w:highlight w:val="none"/>
          <w:lang w:val="en-US" w:eastAsia="zh-CN"/>
        </w:rPr>
        <w:t>3类</w:t>
      </w:r>
      <w:r>
        <w:rPr>
          <w:rFonts w:hint="eastAsia" w:eastAsia="仿宋_GB2312"/>
          <w:color w:val="auto"/>
          <w:sz w:val="32"/>
          <w:szCs w:val="32"/>
          <w:highlight w:val="none"/>
        </w:rPr>
        <w:t>标</w:t>
      </w:r>
      <w:r>
        <w:rPr>
          <w:rFonts w:hint="eastAsia" w:eastAsia="仿宋_GB2312"/>
          <w:sz w:val="32"/>
          <w:szCs w:val="32"/>
          <w:highlight w:val="none"/>
        </w:rPr>
        <w:t>准限值。</w:t>
      </w:r>
    </w:p>
    <w:p w14:paraId="478B7C10">
      <w:pPr>
        <w:numPr>
          <w:ilvl w:val="255"/>
          <w:numId w:val="0"/>
        </w:numPr>
        <w:spacing w:line="56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（五）严格落实固废环境保护措施：运营期产生的生活垃圾分类收集后由环卫部门定期清运；除尘器收尘</w:t>
      </w:r>
      <w:r>
        <w:rPr>
          <w:rFonts w:hint="eastAsia" w:eastAsia="仿宋_GB2312" w:cs="Times New Roman"/>
          <w:sz w:val="32"/>
          <w:szCs w:val="32"/>
          <w:highlight w:val="none"/>
          <w:lang w:val="en-US" w:eastAsia="zh-CN"/>
        </w:rPr>
        <w:t>灰</w:t>
      </w:r>
      <w:r>
        <w:rPr>
          <w:rFonts w:hint="eastAsia" w:ascii="Times New Roman" w:hAnsi="Times New Roman" w:eastAsia="仿宋_GB2312" w:cs="Times New Roman"/>
          <w:sz w:val="32"/>
          <w:szCs w:val="32"/>
          <w:highlight w:val="none"/>
        </w:rPr>
        <w:t>回用于生产，不外排。废润滑油及废油桶依托</w:t>
      </w:r>
      <w:r>
        <w:rPr>
          <w:rFonts w:hint="eastAsia" w:ascii="Times New Roman" w:hAnsi="Times New Roman" w:eastAsia="仿宋_GB2312" w:cs="Times New Roman"/>
          <w:sz w:val="32"/>
          <w:szCs w:val="32"/>
          <w:highlight w:val="none"/>
          <w:lang w:val="en-US" w:eastAsia="zh-CN"/>
        </w:rPr>
        <w:t>新疆伟泽综合能源开发有限公司</w:t>
      </w:r>
      <w:r>
        <w:rPr>
          <w:rFonts w:hint="eastAsia" w:ascii="Times New Roman" w:hAnsi="Times New Roman" w:eastAsia="仿宋_GB2312" w:cs="Times New Roman"/>
          <w:sz w:val="32"/>
          <w:szCs w:val="32"/>
          <w:highlight w:val="none"/>
        </w:rPr>
        <w:t>危废暂存间暂存，定期交由有资质单位处置，并严格按</w:t>
      </w:r>
      <w:bookmarkStart w:id="2" w:name="_GoBack"/>
      <w:bookmarkEnd w:id="2"/>
      <w:r>
        <w:rPr>
          <w:rFonts w:hint="eastAsia" w:ascii="Times New Roman" w:hAnsi="Times New Roman" w:eastAsia="仿宋_GB2312" w:cs="Times New Roman"/>
          <w:sz w:val="32"/>
          <w:szCs w:val="32"/>
          <w:highlight w:val="none"/>
        </w:rPr>
        <w:t>照《危险废物贮存污染控制标准》（GB18597-2023）等相关要求收集、贮存、运输，严格执行危险废物转移管理办法</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强化危险废物运输的环境保护措施，有效防范突发环境事件。</w:t>
      </w:r>
    </w:p>
    <w:p w14:paraId="47F6747D">
      <w:pPr>
        <w:pStyle w:val="3"/>
        <w:tabs>
          <w:tab w:val="left" w:pos="851"/>
        </w:tabs>
        <w:spacing w:line="560" w:lineRule="exact"/>
        <w:ind w:firstLine="640" w:firstLineChars="200"/>
        <w:rPr>
          <w:rFonts w:hint="default" w:ascii="Times New Roman" w:hAnsi="Times New Roman" w:eastAsia="仿宋_GB2312" w:cs="Times New Roman"/>
          <w:sz w:val="32"/>
          <w:szCs w:val="32"/>
          <w:highlight w:val="none"/>
          <w:lang w:eastAsia="zh-CN"/>
        </w:rPr>
      </w:pPr>
      <w:r>
        <w:rPr>
          <w:rFonts w:hint="eastAsia" w:eastAsia="仿宋_GB2312"/>
          <w:sz w:val="32"/>
          <w:szCs w:val="32"/>
          <w:highlight w:val="none"/>
        </w:rPr>
        <w:t>（</w:t>
      </w:r>
      <w:r>
        <w:rPr>
          <w:rFonts w:hint="eastAsia" w:eastAsia="仿宋_GB2312"/>
          <w:sz w:val="32"/>
          <w:szCs w:val="32"/>
          <w:highlight w:val="none"/>
          <w:lang w:val="en-US" w:eastAsia="zh-CN"/>
        </w:rPr>
        <w:t>六</w:t>
      </w:r>
      <w:r>
        <w:rPr>
          <w:rFonts w:hint="eastAsia" w:eastAsia="仿宋_GB2312"/>
          <w:sz w:val="32"/>
          <w:szCs w:val="32"/>
          <w:highlight w:val="none"/>
        </w:rPr>
        <w:t>）严格落实环境风险防范</w:t>
      </w:r>
      <w:r>
        <w:rPr>
          <w:rFonts w:hint="eastAsia" w:ascii="Times New Roman" w:hAnsi="Times New Roman" w:eastAsia="仿宋_GB2312" w:cs="Times New Roman"/>
          <w:sz w:val="32"/>
          <w:szCs w:val="32"/>
          <w:highlight w:val="none"/>
        </w:rPr>
        <w:t>措施：</w:t>
      </w:r>
      <w:r>
        <w:rPr>
          <w:rFonts w:hint="default" w:ascii="Times New Roman" w:hAnsi="Times New Roman" w:eastAsia="仿宋_GB2312" w:cs="Times New Roman"/>
          <w:sz w:val="32"/>
          <w:szCs w:val="32"/>
          <w:highlight w:val="none"/>
          <w:lang w:eastAsia="zh-CN"/>
        </w:rPr>
        <w:t>制定并落实有效的环境风险防范措施和应急预案，建立健全环境事故应急体系，</w:t>
      </w:r>
      <w:r>
        <w:rPr>
          <w:rFonts w:hint="eastAsia" w:ascii="Times New Roman" w:hAnsi="Times New Roman" w:eastAsia="仿宋_GB2312" w:cs="Times New Roman"/>
          <w:sz w:val="32"/>
          <w:szCs w:val="32"/>
          <w:highlight w:val="none"/>
          <w:lang w:val="en-US" w:eastAsia="zh-CN"/>
        </w:rPr>
        <w:t>制订完善</w:t>
      </w:r>
      <w:r>
        <w:rPr>
          <w:rFonts w:hint="eastAsia" w:ascii="Times New Roman" w:hAnsi="Times New Roman" w:eastAsia="仿宋_GB2312" w:cs="Times New Roman"/>
          <w:sz w:val="32"/>
          <w:szCs w:val="32"/>
          <w:highlight w:val="none"/>
        </w:rPr>
        <w:t>突发环境事件应急预案并</w:t>
      </w:r>
      <w:r>
        <w:rPr>
          <w:rFonts w:hint="eastAsia" w:ascii="Times New Roman" w:hAnsi="Times New Roman" w:eastAsia="仿宋_GB2312" w:cs="Times New Roman"/>
          <w:sz w:val="32"/>
          <w:szCs w:val="32"/>
          <w:highlight w:val="none"/>
          <w:lang w:eastAsia="zh-CN"/>
        </w:rPr>
        <w:t>报生态环境部门备案，定期开展应急演练及事故宣传教育，</w:t>
      </w:r>
      <w:r>
        <w:rPr>
          <w:rFonts w:hint="default" w:ascii="Times New Roman" w:hAnsi="Times New Roman" w:eastAsia="仿宋_GB2312" w:cs="Times New Roman"/>
          <w:sz w:val="32"/>
          <w:szCs w:val="32"/>
          <w:highlight w:val="none"/>
          <w:lang w:eastAsia="zh-CN"/>
        </w:rPr>
        <w:t>加强运营期企业环境风险管理，发现问题及时采取有效措施消除事故隐患，确保环境安全。</w:t>
      </w:r>
    </w:p>
    <w:p w14:paraId="1E92CEF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rPr>
        <w:t>本项目投运后新增污染物排放总量指标为：二氧化硫</w:t>
      </w:r>
      <w:r>
        <w:rPr>
          <w:rFonts w:hint="eastAsia" w:ascii="Times New Roman" w:hAnsi="Times New Roman" w:eastAsia="仿宋_GB2312" w:cs="Times New Roman"/>
          <w:color w:val="auto"/>
          <w:sz w:val="32"/>
          <w:szCs w:val="32"/>
          <w:highlight w:val="none"/>
          <w:lang w:val="en-US" w:eastAsia="zh-CN"/>
        </w:rPr>
        <w:t>0.64</w:t>
      </w:r>
      <w:r>
        <w:rPr>
          <w:rFonts w:hint="default" w:ascii="Times New Roman" w:hAnsi="Times New Roman" w:eastAsia="仿宋_GB2312" w:cs="Times New Roman"/>
          <w:color w:val="auto"/>
          <w:sz w:val="32"/>
          <w:szCs w:val="32"/>
          <w:highlight w:val="none"/>
        </w:rPr>
        <w:t>t/a、氮氧化物</w:t>
      </w:r>
      <w:r>
        <w:rPr>
          <w:rFonts w:hint="eastAsia" w:ascii="Times New Roman" w:hAnsi="Times New Roman" w:eastAsia="仿宋_GB2312" w:cs="Times New Roman"/>
          <w:color w:val="auto"/>
          <w:sz w:val="32"/>
          <w:szCs w:val="32"/>
          <w:highlight w:val="none"/>
          <w:lang w:val="en-US" w:eastAsia="zh-CN"/>
        </w:rPr>
        <w:t>80</w:t>
      </w:r>
      <w:r>
        <w:rPr>
          <w:rFonts w:hint="default" w:ascii="Times New Roman" w:hAnsi="Times New Roman" w:eastAsia="仿宋_GB2312" w:cs="Times New Roman"/>
          <w:color w:val="auto"/>
          <w:sz w:val="32"/>
          <w:szCs w:val="32"/>
          <w:highlight w:val="none"/>
        </w:rPr>
        <w:t>t/a、颗粒物</w:t>
      </w:r>
      <w:r>
        <w:rPr>
          <w:rFonts w:hint="eastAsia" w:ascii="Times New Roman" w:hAnsi="Times New Roman" w:eastAsia="仿宋_GB2312" w:cs="Times New Roman"/>
          <w:color w:val="auto"/>
          <w:sz w:val="32"/>
          <w:szCs w:val="32"/>
          <w:highlight w:val="none"/>
          <w:lang w:val="en-US" w:eastAsia="zh-CN"/>
        </w:rPr>
        <w:t>2.155</w:t>
      </w:r>
      <w:r>
        <w:rPr>
          <w:rFonts w:hint="default" w:ascii="Times New Roman" w:hAnsi="Times New Roman" w:eastAsia="仿宋_GB2312" w:cs="Times New Roman"/>
          <w:color w:val="auto"/>
          <w:sz w:val="32"/>
          <w:szCs w:val="32"/>
          <w:highlight w:val="none"/>
        </w:rPr>
        <w:t>t/a</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其中</w:t>
      </w:r>
      <w:r>
        <w:rPr>
          <w:rFonts w:hint="eastAsia" w:ascii="Times New Roman" w:hAnsi="Times New Roman" w:eastAsia="仿宋_GB2312" w:cs="Times New Roman"/>
          <w:color w:val="auto"/>
          <w:sz w:val="32"/>
          <w:szCs w:val="32"/>
          <w:highlight w:val="none"/>
          <w:lang w:val="en-US" w:eastAsia="zh-CN"/>
        </w:rPr>
        <w:t>原尾气发电项目环评批复</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新环函</w:t>
      </w:r>
      <w:r>
        <w:rPr>
          <w:rFonts w:hint="eastAsia" w:ascii="仿宋_GB2312" w:hAnsi="仿宋_GB2312" w:eastAsia="仿宋_GB2312" w:cs="仿宋_GB2312"/>
          <w:sz w:val="32"/>
          <w:szCs w:val="32"/>
          <w:highlight w:val="none"/>
          <w:lang w:val="en-US" w:eastAsia="zh-CN"/>
        </w:rPr>
        <w:t>〔2015〕591号</w:t>
      </w:r>
      <w:r>
        <w:rPr>
          <w:rFonts w:hint="default" w:ascii="Times New Roman" w:hAnsi="Times New Roman" w:eastAsia="仿宋_GB2312" w:cs="Times New Roman"/>
          <w:sz w:val="32"/>
          <w:szCs w:val="32"/>
          <w:highlight w:val="none"/>
          <w:lang w:val="en-US" w:eastAsia="zh-CN"/>
        </w:rPr>
        <w:t>》已获得总量批复指标二氧化硫</w:t>
      </w:r>
      <w:r>
        <w:rPr>
          <w:rFonts w:hint="eastAsia" w:ascii="Times New Roman" w:hAnsi="Times New Roman" w:eastAsia="仿宋_GB2312" w:cs="Times New Roman"/>
          <w:sz w:val="32"/>
          <w:szCs w:val="32"/>
          <w:highlight w:val="none"/>
          <w:lang w:val="en-US" w:eastAsia="zh-CN"/>
        </w:rPr>
        <w:t>54.8</w:t>
      </w:r>
      <w:r>
        <w:rPr>
          <w:rFonts w:hint="default" w:ascii="Times New Roman" w:hAnsi="Times New Roman" w:eastAsia="仿宋_GB2312" w:cs="Times New Roman"/>
          <w:sz w:val="32"/>
          <w:szCs w:val="32"/>
          <w:highlight w:val="none"/>
          <w:lang w:val="en-US" w:eastAsia="zh-CN"/>
        </w:rPr>
        <w:t>t/a、氮氧化物</w:t>
      </w:r>
      <w:r>
        <w:rPr>
          <w:rFonts w:hint="eastAsia" w:ascii="Times New Roman" w:hAnsi="Times New Roman" w:eastAsia="仿宋_GB2312" w:cs="Times New Roman"/>
          <w:sz w:val="32"/>
          <w:szCs w:val="32"/>
          <w:highlight w:val="none"/>
          <w:lang w:val="en-US" w:eastAsia="zh-CN"/>
        </w:rPr>
        <w:t>418.32</w:t>
      </w:r>
      <w:r>
        <w:rPr>
          <w:rFonts w:hint="default" w:ascii="Times New Roman" w:hAnsi="Times New Roman" w:eastAsia="仿宋_GB2312" w:cs="Times New Roman"/>
          <w:sz w:val="32"/>
          <w:szCs w:val="32"/>
          <w:highlight w:val="none"/>
          <w:lang w:val="en-US" w:eastAsia="zh-CN"/>
        </w:rPr>
        <w:t>t/a</w:t>
      </w:r>
      <w:r>
        <w:rPr>
          <w:rFonts w:hint="eastAsia" w:ascii="Times New Roman" w:hAnsi="Times New Roman" w:eastAsia="仿宋_GB2312" w:cs="Times New Roman"/>
          <w:sz w:val="32"/>
          <w:szCs w:val="32"/>
          <w:highlight w:val="none"/>
          <w:lang w:val="en-US" w:eastAsia="zh-CN"/>
        </w:rPr>
        <w:t>，可满足项目使用，</w:t>
      </w:r>
      <w:r>
        <w:rPr>
          <w:rFonts w:hint="default" w:ascii="Times New Roman" w:hAnsi="Times New Roman" w:eastAsia="仿宋_GB2312" w:cs="Times New Roman"/>
          <w:sz w:val="32"/>
          <w:szCs w:val="32"/>
          <w:highlight w:val="none"/>
          <w:lang w:val="en-US" w:eastAsia="zh-CN"/>
        </w:rPr>
        <w:t>剩余需解决污染物排放总量为</w:t>
      </w:r>
      <w:r>
        <w:rPr>
          <w:rFonts w:hint="eastAsia" w:ascii="Times New Roman" w:hAnsi="Times New Roman" w:eastAsia="仿宋_GB2312" w:cs="Times New Roman"/>
          <w:sz w:val="32"/>
          <w:szCs w:val="32"/>
          <w:highlight w:val="none"/>
          <w:lang w:val="en-US" w:eastAsia="zh-CN"/>
        </w:rPr>
        <w:t>颗粒物2.155</w:t>
      </w:r>
      <w:r>
        <w:rPr>
          <w:rFonts w:hint="default" w:ascii="Times New Roman" w:hAnsi="Times New Roman" w:eastAsia="仿宋_GB2312" w:cs="Times New Roman"/>
          <w:sz w:val="32"/>
          <w:szCs w:val="32"/>
          <w:highlight w:val="none"/>
          <w:lang w:val="en-US" w:eastAsia="zh-CN"/>
        </w:rPr>
        <w:t>t/a</w:t>
      </w:r>
      <w:r>
        <w:rPr>
          <w:rFonts w:hint="eastAsia" w:ascii="Times New Roman" w:hAnsi="Times New Roman" w:eastAsia="仿宋_GB2312" w:cs="Times New Roman"/>
          <w:sz w:val="32"/>
          <w:szCs w:val="32"/>
          <w:highlight w:val="none"/>
          <w:lang w:val="en-US" w:eastAsia="zh-CN"/>
        </w:rPr>
        <w:t>，根据倍量削减原则，需削</w:t>
      </w:r>
      <w:r>
        <w:rPr>
          <w:rFonts w:hint="default" w:ascii="Times New Roman" w:hAnsi="Times New Roman" w:eastAsia="仿宋_GB2312" w:cs="Times New Roman"/>
          <w:sz w:val="32"/>
          <w:szCs w:val="32"/>
          <w:highlight w:val="none"/>
          <w:lang w:val="en-US" w:eastAsia="zh-CN"/>
        </w:rPr>
        <w:t>减量</w:t>
      </w:r>
      <w:r>
        <w:rPr>
          <w:rFonts w:hint="eastAsia" w:eastAsia="仿宋_GB2312" w:cs="Times New Roman"/>
          <w:sz w:val="32"/>
          <w:szCs w:val="32"/>
          <w:highlight w:val="none"/>
          <w:lang w:val="en-US" w:eastAsia="zh-CN"/>
        </w:rPr>
        <w:t>颗粒</w:t>
      </w:r>
      <w:r>
        <w:rPr>
          <w:rFonts w:hint="default" w:ascii="Times New Roman" w:hAnsi="Times New Roman" w:eastAsia="仿宋_GB2312" w:cs="Times New Roman"/>
          <w:sz w:val="32"/>
          <w:szCs w:val="32"/>
          <w:highlight w:val="none"/>
          <w:lang w:val="en-US" w:eastAsia="zh-CN"/>
        </w:rPr>
        <w:t>物</w:t>
      </w:r>
      <w:r>
        <w:rPr>
          <w:rFonts w:hint="eastAsia" w:ascii="Times New Roman" w:hAnsi="Times New Roman" w:eastAsia="仿宋_GB2312" w:cs="Times New Roman"/>
          <w:color w:val="auto"/>
          <w:sz w:val="32"/>
          <w:szCs w:val="32"/>
          <w:highlight w:val="none"/>
          <w:lang w:val="en-US" w:eastAsia="zh-CN"/>
        </w:rPr>
        <w:t>4.31</w:t>
      </w:r>
      <w:r>
        <w:rPr>
          <w:rFonts w:hint="default" w:ascii="Times New Roman" w:hAnsi="Times New Roman" w:eastAsia="仿宋_GB2312" w:cs="Times New Roman"/>
          <w:sz w:val="32"/>
          <w:szCs w:val="32"/>
          <w:highlight w:val="none"/>
          <w:lang w:val="en-US" w:eastAsia="zh-CN"/>
        </w:rPr>
        <w:t>t/a</w:t>
      </w:r>
      <w:r>
        <w:rPr>
          <w:rFonts w:hint="default" w:ascii="Times New Roman" w:hAnsi="Times New Roman" w:eastAsia="仿宋_GB2312" w:cs="Times New Roman"/>
          <w:color w:val="auto"/>
          <w:sz w:val="32"/>
          <w:szCs w:val="32"/>
          <w:highlight w:val="none"/>
        </w:rPr>
        <w:t>。本项目颗粒物从昌吉吉盛新型建材有限公司一期工业硅项目配套半敞开式煤场、二期工业硅项目配套半敞开式煤场进行改造中解决。</w:t>
      </w:r>
    </w:p>
    <w:p w14:paraId="5271EF59">
      <w:pPr>
        <w:widowControl/>
        <w:adjustRightInd w:val="0"/>
        <w:snapToGrid w:val="0"/>
        <w:spacing w:line="560" w:lineRule="exact"/>
        <w:ind w:firstLine="640" w:firstLineChars="200"/>
        <w:rPr>
          <w:rFonts w:eastAsia="仿宋_GB2312"/>
          <w:sz w:val="32"/>
          <w:szCs w:val="32"/>
          <w:highlight w:val="none"/>
        </w:rPr>
      </w:pPr>
      <w:r>
        <w:rPr>
          <w:rFonts w:hint="eastAsia" w:eastAsia="仿宋_GB2312"/>
          <w:sz w:val="32"/>
          <w:szCs w:val="32"/>
          <w:highlight w:val="none"/>
          <w:lang w:val="en-US" w:eastAsia="zh-CN"/>
        </w:rPr>
        <w:t>五</w:t>
      </w:r>
      <w:r>
        <w:rPr>
          <w:rFonts w:eastAsia="仿宋_GB2312"/>
          <w:sz w:val="32"/>
          <w:szCs w:val="32"/>
          <w:highlight w:val="none"/>
        </w:rPr>
        <w:t>、项目建设必须严格执行配套的环境保护设施与主体工程同时设计、同时施工、同时投产使用的“三同时”制度，落实环保设施安全生产相关工作要求。施工招标文件和施工合同应明确环保条款和责任，认真落实施工期环境保护工作。按规定程序开展竣工环境保护验收。</w:t>
      </w:r>
    </w:p>
    <w:p w14:paraId="68348613">
      <w:pPr>
        <w:widowControl/>
        <w:adjustRightInd w:val="0"/>
        <w:snapToGrid w:val="0"/>
        <w:spacing w:line="560" w:lineRule="exact"/>
        <w:ind w:firstLine="640" w:firstLineChars="200"/>
        <w:rPr>
          <w:rFonts w:eastAsia="仿宋_GB2312"/>
          <w:sz w:val="32"/>
          <w:szCs w:val="32"/>
          <w:highlight w:val="none"/>
        </w:rPr>
      </w:pPr>
      <w:r>
        <w:rPr>
          <w:rFonts w:hint="eastAsia" w:eastAsia="仿宋_GB2312"/>
          <w:sz w:val="32"/>
          <w:szCs w:val="32"/>
          <w:highlight w:val="none"/>
          <w:lang w:val="en-US" w:eastAsia="zh-CN"/>
        </w:rPr>
        <w:t>六</w:t>
      </w:r>
      <w:r>
        <w:rPr>
          <w:rFonts w:eastAsia="仿宋_GB2312"/>
          <w:sz w:val="32"/>
          <w:szCs w:val="32"/>
          <w:highlight w:val="none"/>
        </w:rPr>
        <w:t>、</w:t>
      </w:r>
      <w:r>
        <w:rPr>
          <w:rFonts w:hint="eastAsia" w:eastAsia="仿宋_GB2312"/>
          <w:sz w:val="32"/>
          <w:szCs w:val="32"/>
          <w:highlight w:val="none"/>
        </w:rPr>
        <w:t>环境影响报告经批准后，项目的性质、规模、地点、生产工艺和环境保护措施发生重大变动的，应当依法重新报批项目的环境影响报告。环境影响报告批准之日起超过五年，方决定该项目开工建设的，应当报我局重新审批</w:t>
      </w:r>
      <w:r>
        <w:rPr>
          <w:rFonts w:eastAsia="仿宋_GB2312"/>
          <w:sz w:val="32"/>
          <w:szCs w:val="32"/>
          <w:highlight w:val="none"/>
        </w:rPr>
        <w:t>。</w:t>
      </w:r>
    </w:p>
    <w:p w14:paraId="35D7EF5D">
      <w:pPr>
        <w:widowControl/>
        <w:adjustRightInd w:val="0"/>
        <w:snapToGrid w:val="0"/>
        <w:spacing w:line="560" w:lineRule="exact"/>
        <w:ind w:firstLine="640" w:firstLineChars="200"/>
        <w:rPr>
          <w:rFonts w:eastAsia="仿宋_GB2312"/>
          <w:kern w:val="0"/>
          <w:sz w:val="32"/>
          <w:szCs w:val="32"/>
          <w:highlight w:val="none"/>
        </w:rPr>
      </w:pPr>
      <w:r>
        <w:rPr>
          <w:rFonts w:hint="eastAsia" w:eastAsia="仿宋_GB2312"/>
          <w:sz w:val="32"/>
          <w:szCs w:val="32"/>
          <w:highlight w:val="none"/>
          <w:lang w:val="en-US" w:eastAsia="zh-CN"/>
        </w:rPr>
        <w:t>七</w:t>
      </w:r>
      <w:r>
        <w:rPr>
          <w:rFonts w:eastAsia="仿宋_GB2312"/>
          <w:sz w:val="32"/>
          <w:szCs w:val="32"/>
          <w:highlight w:val="none"/>
        </w:rPr>
        <w:t>、在项目发生实际排污行为前，按照经批准的环境影响评价文件认真梳理并确认各项环境保护措施落实后，依法</w:t>
      </w:r>
      <w:r>
        <w:rPr>
          <w:rFonts w:hint="eastAsia" w:eastAsia="仿宋_GB2312"/>
          <w:sz w:val="32"/>
          <w:szCs w:val="32"/>
          <w:highlight w:val="none"/>
        </w:rPr>
        <w:t>申领</w:t>
      </w:r>
      <w:r>
        <w:rPr>
          <w:rFonts w:eastAsia="仿宋_GB2312"/>
          <w:sz w:val="32"/>
          <w:szCs w:val="32"/>
          <w:highlight w:val="none"/>
        </w:rPr>
        <w:t>排污许可证。</w:t>
      </w:r>
    </w:p>
    <w:p w14:paraId="683504CD">
      <w:pPr>
        <w:widowControl/>
        <w:adjustRightInd w:val="0"/>
        <w:snapToGrid w:val="0"/>
        <w:spacing w:line="560" w:lineRule="exact"/>
        <w:ind w:firstLine="640" w:firstLineChars="200"/>
        <w:jc w:val="right"/>
        <w:rPr>
          <w:rFonts w:eastAsia="仿宋_GB2312"/>
          <w:kern w:val="0"/>
          <w:sz w:val="32"/>
          <w:szCs w:val="32"/>
          <w:highlight w:val="none"/>
        </w:rPr>
      </w:pPr>
    </w:p>
    <w:p w14:paraId="016F646F">
      <w:pPr>
        <w:widowControl/>
        <w:adjustRightInd w:val="0"/>
        <w:snapToGrid w:val="0"/>
        <w:spacing w:line="560" w:lineRule="exact"/>
        <w:ind w:firstLine="640" w:firstLineChars="200"/>
        <w:jc w:val="right"/>
        <w:rPr>
          <w:rFonts w:eastAsia="仿宋_GB2312"/>
          <w:kern w:val="0"/>
          <w:sz w:val="32"/>
          <w:szCs w:val="32"/>
          <w:highlight w:val="none"/>
        </w:rPr>
      </w:pPr>
    </w:p>
    <w:p w14:paraId="29980AF6">
      <w:pPr>
        <w:widowControl/>
        <w:adjustRightInd w:val="0"/>
        <w:snapToGrid w:val="0"/>
        <w:spacing w:line="560" w:lineRule="exact"/>
        <w:ind w:firstLine="640" w:firstLineChars="200"/>
        <w:jc w:val="right"/>
        <w:rPr>
          <w:rFonts w:eastAsia="仿宋_GB2312"/>
          <w:kern w:val="0"/>
          <w:sz w:val="32"/>
          <w:szCs w:val="32"/>
          <w:highlight w:val="none"/>
        </w:rPr>
      </w:pPr>
    </w:p>
    <w:p w14:paraId="28F33440">
      <w:pPr>
        <w:widowControl/>
        <w:adjustRightInd w:val="0"/>
        <w:snapToGrid w:val="0"/>
        <w:spacing w:line="560" w:lineRule="exact"/>
        <w:ind w:firstLine="640" w:firstLineChars="200"/>
        <w:jc w:val="right"/>
        <w:rPr>
          <w:rFonts w:eastAsia="仿宋_GB2312"/>
          <w:kern w:val="0"/>
          <w:sz w:val="32"/>
          <w:szCs w:val="32"/>
          <w:highlight w:val="none"/>
        </w:rPr>
      </w:pPr>
      <w:r>
        <w:rPr>
          <w:rFonts w:eastAsia="仿宋_GB2312"/>
          <w:kern w:val="0"/>
          <w:sz w:val="32"/>
          <w:szCs w:val="32"/>
          <w:highlight w:val="none"/>
        </w:rPr>
        <w:t>新疆准东经济技术开发区环境保护局</w:t>
      </w:r>
    </w:p>
    <w:p w14:paraId="5B65080F">
      <w:pPr>
        <w:widowControl/>
        <w:adjustRightInd w:val="0"/>
        <w:snapToGrid w:val="0"/>
        <w:spacing w:line="560" w:lineRule="exact"/>
        <w:rPr>
          <w:rFonts w:eastAsia="仿宋_GB2312"/>
          <w:kern w:val="0"/>
          <w:sz w:val="32"/>
          <w:szCs w:val="32"/>
          <w:highlight w:val="none"/>
        </w:rPr>
      </w:pPr>
      <w:r>
        <w:rPr>
          <w:rFonts w:hint="eastAsia" w:eastAsia="仿宋_GB2312"/>
          <w:kern w:val="0"/>
          <w:sz w:val="32"/>
          <w:szCs w:val="32"/>
          <w:highlight w:val="none"/>
        </w:rPr>
        <w:t xml:space="preserve">                           </w:t>
      </w:r>
      <w:r>
        <w:rPr>
          <w:rFonts w:hint="eastAsia" w:eastAsia="仿宋_GB2312"/>
          <w:color w:val="0000FF"/>
          <w:kern w:val="0"/>
          <w:sz w:val="32"/>
          <w:szCs w:val="32"/>
          <w:highlight w:val="none"/>
        </w:rPr>
        <w:t xml:space="preserve">     </w:t>
      </w:r>
      <w:r>
        <w:rPr>
          <w:rFonts w:eastAsia="仿宋_GB2312"/>
          <w:kern w:val="0"/>
          <w:sz w:val="32"/>
          <w:szCs w:val="32"/>
          <w:highlight w:val="none"/>
        </w:rPr>
        <w:t>202</w:t>
      </w:r>
      <w:r>
        <w:rPr>
          <w:rFonts w:hint="eastAsia" w:eastAsia="仿宋_GB2312"/>
          <w:kern w:val="0"/>
          <w:sz w:val="32"/>
          <w:szCs w:val="32"/>
          <w:highlight w:val="none"/>
        </w:rPr>
        <w:t>4</w:t>
      </w:r>
      <w:r>
        <w:rPr>
          <w:rFonts w:eastAsia="仿宋_GB2312"/>
          <w:kern w:val="0"/>
          <w:sz w:val="32"/>
          <w:szCs w:val="32"/>
          <w:highlight w:val="none"/>
        </w:rPr>
        <w:t>年</w:t>
      </w:r>
      <w:r>
        <w:rPr>
          <w:rFonts w:hint="eastAsia" w:eastAsia="仿宋_GB2312"/>
          <w:kern w:val="0"/>
          <w:sz w:val="32"/>
          <w:szCs w:val="32"/>
          <w:highlight w:val="none"/>
          <w:lang w:val="en-US" w:eastAsia="zh-CN"/>
        </w:rPr>
        <w:t>12</w:t>
      </w:r>
      <w:r>
        <w:rPr>
          <w:rFonts w:eastAsia="仿宋_GB2312"/>
          <w:kern w:val="0"/>
          <w:sz w:val="32"/>
          <w:szCs w:val="32"/>
          <w:highlight w:val="none"/>
        </w:rPr>
        <w:t>月</w:t>
      </w:r>
      <w:r>
        <w:rPr>
          <w:rFonts w:hint="eastAsia" w:eastAsia="仿宋_GB2312"/>
          <w:kern w:val="0"/>
          <w:sz w:val="32"/>
          <w:szCs w:val="32"/>
          <w:highlight w:val="none"/>
          <w:lang w:val="en-US" w:eastAsia="zh-CN"/>
        </w:rPr>
        <w:t>31</w:t>
      </w:r>
      <w:r>
        <w:rPr>
          <w:rFonts w:hint="eastAsia" w:eastAsia="仿宋_GB2312"/>
          <w:kern w:val="0"/>
          <w:sz w:val="32"/>
          <w:szCs w:val="32"/>
          <w:highlight w:val="none"/>
        </w:rPr>
        <w:t>日</w:t>
      </w:r>
    </w:p>
    <w:p w14:paraId="4C479CAB">
      <w:pPr>
        <w:pStyle w:val="27"/>
        <w:spacing w:line="560" w:lineRule="exact"/>
        <w:ind w:firstLine="640"/>
        <w:jc w:val="both"/>
        <w:rPr>
          <w:rFonts w:ascii="Times New Roman" w:hAnsi="Times New Roman" w:eastAsia="仿宋_GB2312"/>
          <w:sz w:val="32"/>
          <w:szCs w:val="32"/>
          <w:highlight w:val="none"/>
        </w:rPr>
      </w:pPr>
    </w:p>
    <w:p w14:paraId="7542F716">
      <w:pPr>
        <w:pStyle w:val="27"/>
        <w:spacing w:line="560" w:lineRule="exact"/>
        <w:ind w:firstLine="640"/>
        <w:jc w:val="both"/>
        <w:rPr>
          <w:rFonts w:ascii="Times New Roman" w:hAnsi="Times New Roman" w:eastAsia="仿宋_GB2312"/>
          <w:sz w:val="32"/>
          <w:szCs w:val="32"/>
          <w:highlight w:val="none"/>
        </w:rPr>
      </w:pPr>
    </w:p>
    <w:p w14:paraId="101DB274">
      <w:pPr>
        <w:pStyle w:val="27"/>
        <w:spacing w:line="560" w:lineRule="exact"/>
        <w:ind w:firstLine="640"/>
        <w:jc w:val="both"/>
        <w:rPr>
          <w:rFonts w:ascii="Times New Roman" w:hAnsi="Times New Roman" w:eastAsia="仿宋_GB2312"/>
          <w:sz w:val="32"/>
          <w:szCs w:val="32"/>
          <w:highlight w:val="none"/>
        </w:rPr>
      </w:pPr>
    </w:p>
    <w:p w14:paraId="5F3DDA36">
      <w:pPr>
        <w:pStyle w:val="27"/>
        <w:spacing w:line="560" w:lineRule="exact"/>
        <w:ind w:firstLine="640"/>
        <w:jc w:val="both"/>
        <w:rPr>
          <w:rFonts w:ascii="Times New Roman" w:hAnsi="Times New Roman" w:eastAsia="仿宋_GB2312"/>
          <w:sz w:val="32"/>
          <w:szCs w:val="32"/>
          <w:highlight w:val="none"/>
        </w:rPr>
      </w:pPr>
    </w:p>
    <w:p w14:paraId="01DEA7BF">
      <w:pPr>
        <w:pStyle w:val="27"/>
        <w:spacing w:line="560" w:lineRule="exact"/>
        <w:ind w:firstLine="640"/>
        <w:jc w:val="both"/>
        <w:rPr>
          <w:rFonts w:ascii="Times New Roman" w:hAnsi="Times New Roman" w:eastAsia="仿宋_GB2312"/>
          <w:sz w:val="32"/>
          <w:szCs w:val="32"/>
          <w:highlight w:val="none"/>
        </w:rPr>
      </w:pPr>
    </w:p>
    <w:p w14:paraId="4C3BB9E4">
      <w:pPr>
        <w:pStyle w:val="27"/>
        <w:spacing w:line="560" w:lineRule="exact"/>
        <w:ind w:firstLine="640"/>
        <w:jc w:val="both"/>
        <w:rPr>
          <w:rFonts w:ascii="Times New Roman" w:hAnsi="Times New Roman" w:eastAsia="仿宋_GB2312"/>
          <w:sz w:val="32"/>
          <w:szCs w:val="32"/>
          <w:highlight w:val="none"/>
        </w:rPr>
      </w:pPr>
    </w:p>
    <w:p w14:paraId="1D38E3A8">
      <w:pPr>
        <w:pStyle w:val="27"/>
        <w:spacing w:line="560" w:lineRule="exact"/>
        <w:ind w:firstLine="640"/>
        <w:jc w:val="both"/>
        <w:rPr>
          <w:rFonts w:ascii="Times New Roman" w:hAnsi="Times New Roman" w:eastAsia="仿宋_GB2312"/>
          <w:sz w:val="32"/>
          <w:szCs w:val="32"/>
          <w:highlight w:val="none"/>
        </w:rPr>
      </w:pPr>
    </w:p>
    <w:p w14:paraId="6E63309C">
      <w:pPr>
        <w:pStyle w:val="27"/>
        <w:spacing w:line="560" w:lineRule="exact"/>
        <w:ind w:firstLine="640"/>
        <w:jc w:val="both"/>
        <w:rPr>
          <w:rFonts w:ascii="Times New Roman" w:hAnsi="Times New Roman" w:eastAsia="仿宋_GB2312"/>
          <w:sz w:val="32"/>
          <w:szCs w:val="32"/>
          <w:highlight w:val="none"/>
        </w:rPr>
      </w:pPr>
    </w:p>
    <w:p w14:paraId="18AA3C88">
      <w:pPr>
        <w:pStyle w:val="27"/>
        <w:spacing w:line="560" w:lineRule="exact"/>
        <w:ind w:firstLine="640"/>
        <w:jc w:val="both"/>
        <w:rPr>
          <w:rFonts w:ascii="Times New Roman" w:hAnsi="Times New Roman" w:eastAsia="仿宋_GB2312"/>
          <w:sz w:val="32"/>
          <w:szCs w:val="32"/>
          <w:highlight w:val="none"/>
        </w:rPr>
      </w:pPr>
    </w:p>
    <w:p w14:paraId="1F446E94">
      <w:pPr>
        <w:pStyle w:val="27"/>
        <w:spacing w:line="560" w:lineRule="exact"/>
        <w:ind w:firstLine="640"/>
        <w:jc w:val="both"/>
        <w:rPr>
          <w:rFonts w:ascii="Times New Roman" w:hAnsi="Times New Roman" w:eastAsia="仿宋_GB2312"/>
          <w:sz w:val="32"/>
          <w:szCs w:val="32"/>
          <w:highlight w:val="none"/>
        </w:rPr>
      </w:pPr>
    </w:p>
    <w:p w14:paraId="752BEAC7">
      <w:pPr>
        <w:pStyle w:val="27"/>
        <w:spacing w:line="560" w:lineRule="exact"/>
        <w:ind w:firstLine="640"/>
        <w:jc w:val="both"/>
        <w:rPr>
          <w:rFonts w:ascii="Times New Roman" w:hAnsi="Times New Roman" w:eastAsia="仿宋_GB2312"/>
          <w:sz w:val="32"/>
          <w:szCs w:val="32"/>
          <w:highlight w:val="none"/>
        </w:rPr>
      </w:pPr>
      <w:r>
        <w:rPr>
          <w:rFonts w:ascii="Times New Roman" w:hAnsi="Times New Roman" w:eastAsia="仿宋_GB2312"/>
          <w:sz w:val="32"/>
          <w:szCs w:val="32"/>
          <w:highlight w:val="none"/>
        </w:rPr>
        <w:t>（此件社会公开）</w:t>
      </w:r>
    </w:p>
    <w:p w14:paraId="3AECC57B">
      <w:pPr>
        <w:rPr>
          <w:highlight w:val="none"/>
        </w:rPr>
      </w:pPr>
    </w:p>
    <w:p w14:paraId="0B425884">
      <w:pPr>
        <w:rPr>
          <w:highlight w:val="none"/>
        </w:rPr>
      </w:pPr>
    </w:p>
    <w:p w14:paraId="484936FA">
      <w:pPr>
        <w:rPr>
          <w:highlight w:val="none"/>
        </w:rPr>
      </w:pPr>
    </w:p>
    <w:p w14:paraId="320F5C41">
      <w:pPr>
        <w:rPr>
          <w:highlight w:val="none"/>
        </w:rPr>
      </w:pPr>
    </w:p>
    <w:p w14:paraId="02DC347F">
      <w:pPr>
        <w:rPr>
          <w:highlight w:val="none"/>
        </w:rPr>
      </w:pPr>
    </w:p>
    <w:p w14:paraId="01883188">
      <w:pPr>
        <w:rPr>
          <w:highlight w:val="none"/>
        </w:rPr>
      </w:pPr>
    </w:p>
    <w:p w14:paraId="0D700852">
      <w:pPr>
        <w:rPr>
          <w:highlight w:val="none"/>
        </w:rPr>
      </w:pPr>
    </w:p>
    <w:p w14:paraId="5A5DBE8A">
      <w:pPr>
        <w:rPr>
          <w:rFonts w:eastAsia="仿宋_GB2312"/>
          <w:kern w:val="0"/>
          <w:sz w:val="32"/>
          <w:szCs w:val="32"/>
          <w:highlight w:val="none"/>
        </w:rPr>
      </w:pPr>
    </w:p>
    <w:p w14:paraId="093BAAF4">
      <w:pPr>
        <w:pStyle w:val="14"/>
        <w:ind w:firstLine="640"/>
        <w:rPr>
          <w:rFonts w:eastAsia="仿宋_GB2312"/>
          <w:kern w:val="0"/>
          <w:sz w:val="32"/>
          <w:szCs w:val="32"/>
          <w:highlight w:val="none"/>
        </w:rPr>
      </w:pPr>
    </w:p>
    <w:p w14:paraId="0E7200F1">
      <w:pPr>
        <w:pStyle w:val="9"/>
        <w:ind w:left="0" w:leftChars="0"/>
        <w:rPr>
          <w:highlight w:val="none"/>
        </w:rPr>
      </w:pPr>
    </w:p>
    <w:p w14:paraId="4F6C21DE">
      <w:pPr>
        <w:pStyle w:val="4"/>
        <w:rPr>
          <w:highlight w:val="none"/>
        </w:rPr>
      </w:pPr>
    </w:p>
    <w:p w14:paraId="71DF5CEE">
      <w:pPr>
        <w:rPr>
          <w:highlight w:val="none"/>
        </w:rPr>
      </w:pPr>
    </w:p>
    <w:p w14:paraId="4A6C356D">
      <w:pPr>
        <w:rPr>
          <w:highlight w:val="none"/>
        </w:rPr>
      </w:pPr>
    </w:p>
    <w:p w14:paraId="71988A06">
      <w:pPr>
        <w:pStyle w:val="4"/>
        <w:rPr>
          <w:highlight w:val="none"/>
        </w:rPr>
      </w:pPr>
    </w:p>
    <w:p w14:paraId="143B0635">
      <w:pPr>
        <w:rPr>
          <w:highlight w:val="none"/>
        </w:rPr>
      </w:pPr>
    </w:p>
    <w:p w14:paraId="32A269AA">
      <w:pPr>
        <w:rPr>
          <w:highlight w:val="none"/>
        </w:rPr>
      </w:pPr>
    </w:p>
    <w:p w14:paraId="3321D0F4">
      <w:pPr>
        <w:rPr>
          <w:highlight w:val="none"/>
        </w:rPr>
      </w:pPr>
    </w:p>
    <w:p w14:paraId="1EB74240">
      <w:pPr>
        <w:rPr>
          <w:highlight w:val="none"/>
        </w:rPr>
      </w:pPr>
    </w:p>
    <w:p w14:paraId="57C8AE92">
      <w:pPr>
        <w:rPr>
          <w:highlight w:val="none"/>
        </w:rPr>
      </w:pPr>
    </w:p>
    <w:p w14:paraId="7359BC80">
      <w:pPr>
        <w:rPr>
          <w:highlight w:val="none"/>
        </w:rPr>
      </w:pPr>
    </w:p>
    <w:p w14:paraId="76C3618A">
      <w:pPr>
        <w:rPr>
          <w:highlight w:val="none"/>
        </w:rPr>
      </w:pPr>
    </w:p>
    <w:p w14:paraId="5A64F91B">
      <w:pPr>
        <w:rPr>
          <w:highlight w:val="none"/>
        </w:rPr>
      </w:pPr>
    </w:p>
    <w:p w14:paraId="1707C518">
      <w:pPr>
        <w:rPr>
          <w:highlight w:val="none"/>
        </w:rPr>
      </w:pPr>
    </w:p>
    <w:p w14:paraId="69903F5E">
      <w:pPr>
        <w:rPr>
          <w:highlight w:val="none"/>
        </w:rPr>
      </w:pPr>
    </w:p>
    <w:p w14:paraId="622ED798">
      <w:pPr>
        <w:rPr>
          <w:highlight w:val="none"/>
        </w:rPr>
      </w:pPr>
    </w:p>
    <w:p w14:paraId="171CAA9B">
      <w:pPr>
        <w:rPr>
          <w:highlight w:val="none"/>
        </w:rPr>
      </w:pPr>
    </w:p>
    <w:p w14:paraId="62E982F5">
      <w:pPr>
        <w:rPr>
          <w:highlight w:val="none"/>
        </w:rPr>
      </w:pPr>
    </w:p>
    <w:p w14:paraId="1414EE60">
      <w:pPr>
        <w:rPr>
          <w:highlight w:val="none"/>
        </w:rPr>
      </w:pPr>
    </w:p>
    <w:p w14:paraId="09F2361E">
      <w:pPr>
        <w:rPr>
          <w:highlight w:val="none"/>
        </w:rPr>
      </w:pPr>
    </w:p>
    <w:p w14:paraId="1CEF7802">
      <w:pPr>
        <w:rPr>
          <w:highlight w:val="none"/>
        </w:rPr>
      </w:pPr>
    </w:p>
    <w:p w14:paraId="03C976B3">
      <w:pPr>
        <w:spacing w:line="560" w:lineRule="exact"/>
        <w:ind w:firstLine="280" w:firstLineChars="100"/>
        <w:rPr>
          <w:rFonts w:eastAsia="仿宋_GB2312"/>
          <w:sz w:val="28"/>
          <w:szCs w:val="28"/>
          <w:highlight w:val="none"/>
        </w:rPr>
      </w:pPr>
      <w:r>
        <w:rPr>
          <w:rFonts w:eastAsia="仿宋_GB2312"/>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39370</wp:posOffset>
                </wp:positionV>
                <wp:extent cx="54864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1pt;height:0pt;width:432pt;z-index:251659264;mso-width-relative:page;mso-height-relative:page;" filled="f" stroked="t" coordsize="21600,21600" o:gfxdata="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SVrfNIAAAAEAQAADwAAAAAAAAABACAAAAAiAAAAZHJzL2Rvd25yZXYueG1sUEsBAhQAFAAAAAgA&#10;h07iQA0puDPyAQAA5gMAAA4AAAAAAAAAAQAgAAAAIQEAAGRycy9lMm9Eb2MueG1sUEsFBgAAAAAG&#10;AAYAWQEAAIUFAAAAAA==&#10;">
                <v:fill on="f" focussize="0,0"/>
                <v:stroke color="#000000" joinstyle="round"/>
                <v:imagedata o:title=""/>
                <o:lock v:ext="edit" aspectratio="f"/>
              </v:line>
            </w:pict>
          </mc:Fallback>
        </mc:AlternateContent>
      </w:r>
      <w:r>
        <w:rPr>
          <w:rFonts w:eastAsia="仿宋_GB2312"/>
          <w:sz w:val="28"/>
          <w:szCs w:val="28"/>
          <w:highlight w:val="none"/>
        </w:rPr>
        <w:t>抄送：昌吉州生态环境保护综合行政执法支队准东大队存档。</w:t>
      </w:r>
    </w:p>
    <w:p w14:paraId="0E89FDFA">
      <w:pPr>
        <w:tabs>
          <w:tab w:val="left" w:pos="360"/>
        </w:tabs>
        <w:spacing w:line="560" w:lineRule="exact"/>
        <w:ind w:right="25" w:rightChars="12" w:firstLine="280" w:firstLineChars="100"/>
        <w:rPr>
          <w:rFonts w:eastAsia="仿宋_GB2312"/>
          <w:sz w:val="32"/>
          <w:szCs w:val="32"/>
          <w:highlight w:val="none"/>
        </w:rPr>
      </w:pPr>
      <w:r>
        <w:rPr>
          <w:rFonts w:eastAsia="仿宋_GB2312"/>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328295</wp:posOffset>
                </wp:positionV>
                <wp:extent cx="5486400" cy="0"/>
                <wp:effectExtent l="0" t="4445" r="0" b="5080"/>
                <wp:wrapNone/>
                <wp:docPr id="1" name="直线 3"/>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0pt;margin-top:25.85pt;height:0pt;width:432pt;z-index:251660288;mso-width-relative:page;mso-height-relative:page;" filled="f" stroked="t" coordsize="21600,21600" o:gfxdata="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of4SnUAAAABgEA&#10;AA8AAAAAAAAAAQAgAAAAIgAAAGRycy9kb3ducmV2LnhtbFBLAQIUABQAAAAIAIdO4kDtXq5h5QEA&#10;AN0DAAAOAAAAAAAAAAEAIAAAACMBAABkcnMvZTJvRG9jLnhtbFBLBQYAAAAABgAGAFkBAAB6BQAA&#10;AAA=&#10;">
                <v:fill on="f" focussize="0,0"/>
                <v:stroke color="#000000" joinstyle="round"/>
                <v:imagedata o:title=""/>
                <o:lock v:ext="edit" aspectratio="f"/>
              </v:line>
            </w:pict>
          </mc:Fallback>
        </mc:AlternateContent>
      </w:r>
      <w:r>
        <w:rPr>
          <w:rFonts w:eastAsia="仿宋_GB2312"/>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31115</wp:posOffset>
                </wp:positionV>
                <wp:extent cx="5486400" cy="0"/>
                <wp:effectExtent l="0" t="4445" r="0" b="5080"/>
                <wp:wrapNone/>
                <wp:docPr id="2" name="直线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4" o:spid="_x0000_s1026" o:spt="20" style="position:absolute;left:0pt;margin-left:0pt;margin-top:2.45pt;height:0pt;width:432pt;z-index:251661312;mso-width-relative:page;mso-height-relative:page;" filled="f" stroked="t" coordsize="21600,21600" o:gfxdata="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e+FSs0gAAAAQBAAAP&#10;AAAAAAAAAAEAIAAAACIAAABkcnMvZG93bnJldi54bWxQSwECFAAUAAAACACHTuJA42/3vuUBAADd&#10;AwAADgAAAAAAAAABACAAAAAhAQAAZHJzL2Uyb0RvYy54bWxQSwUGAAAAAAYABgBZAQAAeAUAAAAA&#10;">
                <v:fill on="f" focussize="0,0"/>
                <v:stroke color="#000000" joinstyle="round"/>
                <v:imagedata o:title=""/>
                <o:lock v:ext="edit" aspectratio="f"/>
              </v:line>
            </w:pict>
          </mc:Fallback>
        </mc:AlternateContent>
      </w:r>
      <w:r>
        <w:rPr>
          <w:rFonts w:eastAsia="仿宋_GB2312"/>
          <w:sz w:val="28"/>
          <w:szCs w:val="28"/>
          <w:highlight w:val="none"/>
        </w:rPr>
        <w:t>新疆准东经济技术开发区环境保护局  202</w:t>
      </w:r>
      <w:r>
        <w:rPr>
          <w:rFonts w:hint="eastAsia" w:eastAsia="仿宋_GB2312"/>
          <w:sz w:val="28"/>
          <w:szCs w:val="28"/>
          <w:highlight w:val="none"/>
        </w:rPr>
        <w:t>4</w:t>
      </w:r>
      <w:r>
        <w:rPr>
          <w:rFonts w:eastAsia="仿宋_GB2312"/>
          <w:sz w:val="28"/>
          <w:szCs w:val="28"/>
          <w:highlight w:val="none"/>
        </w:rPr>
        <w:t>年</w:t>
      </w:r>
      <w:r>
        <w:rPr>
          <w:rFonts w:hint="eastAsia" w:eastAsia="仿宋_GB2312"/>
          <w:sz w:val="28"/>
          <w:szCs w:val="28"/>
          <w:highlight w:val="none"/>
          <w:lang w:val="en-US" w:eastAsia="zh-CN"/>
        </w:rPr>
        <w:t>12</w:t>
      </w:r>
      <w:r>
        <w:rPr>
          <w:rFonts w:eastAsia="仿宋_GB2312"/>
          <w:sz w:val="28"/>
          <w:szCs w:val="28"/>
          <w:highlight w:val="none"/>
        </w:rPr>
        <w:t>月</w:t>
      </w:r>
      <w:r>
        <w:rPr>
          <w:rFonts w:hint="eastAsia" w:eastAsia="仿宋_GB2312"/>
          <w:sz w:val="28"/>
          <w:szCs w:val="28"/>
          <w:highlight w:val="none"/>
          <w:lang w:val="en-US" w:eastAsia="zh-CN"/>
        </w:rPr>
        <w:t>31</w:t>
      </w:r>
      <w:r>
        <w:rPr>
          <w:rFonts w:eastAsia="仿宋_GB2312"/>
          <w:sz w:val="28"/>
          <w:szCs w:val="28"/>
          <w:highlight w:val="none"/>
        </w:rPr>
        <w:t>日印发</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BC7F2A39-2378-4A9C-B900-86AE3DE4427A}"/>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embedRegular r:id="rId2" w:fontKey="{CC639A5C-FAE3-44BE-BAD6-B647EE775BC3}"/>
  </w:font>
  <w:font w:name="方正小标宋简体">
    <w:panose1 w:val="03000509000000000000"/>
    <w:charset w:val="86"/>
    <w:family w:val="script"/>
    <w:pitch w:val="default"/>
    <w:sig w:usb0="00000001" w:usb1="080E0000" w:usb2="00000000" w:usb3="00000000" w:csb0="00040000" w:csb1="00000000"/>
    <w:embedRegular r:id="rId3" w:fontKey="{B45BDBE7-DFC6-4C07-895C-447CC32510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6A79E">
    <w:pPr>
      <w:pStyle w:val="1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451DE3">
                          <w:pPr>
                            <w:pStyle w:val="10"/>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kPW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SpD1jCAQAAjQMAAA4AAAAAAAAAAQAgAAAAHgEAAGRycy9lMm9Eb2MueG1sUEsF&#10;BgAAAAAGAAYAWQEAAFIFAAAAAA==&#10;">
              <v:fill on="f" focussize="0,0"/>
              <v:stroke on="f"/>
              <v:imagedata o:title=""/>
              <o:lock v:ext="edit" aspectratio="f"/>
              <v:textbox inset="0mm,0mm,0mm,0mm" style="mso-fit-shape-to-text:t;">
                <w:txbxContent>
                  <w:p w14:paraId="2B451DE3">
                    <w:pPr>
                      <w:pStyle w:val="10"/>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5E4C30"/>
    <w:multiLevelType w:val="singleLevel"/>
    <w:tmpl w:val="8F5E4C30"/>
    <w:lvl w:ilvl="0" w:tentative="0">
      <w:start w:val="1"/>
      <w:numFmt w:val="chineseCounting"/>
      <w:suff w:val="nothing"/>
      <w:lvlText w:val="%1、"/>
      <w:lvlJc w:val="left"/>
      <w:rPr>
        <w:rFonts w:hint="eastAsia"/>
      </w:rPr>
    </w:lvl>
  </w:abstractNum>
  <w:abstractNum w:abstractNumId="1">
    <w:nsid w:val="FDA7B419"/>
    <w:multiLevelType w:val="singleLevel"/>
    <w:tmpl w:val="FDA7B419"/>
    <w:lvl w:ilvl="0" w:tentative="0">
      <w:start w:val="2"/>
      <w:numFmt w:val="chineseCounting"/>
      <w:suff w:val="nothing"/>
      <w:lvlText w:val="%1、"/>
      <w:lvlJc w:val="left"/>
      <w:rPr>
        <w:rFonts w:hint="eastAsia"/>
      </w:rPr>
    </w:lvl>
  </w:abstractNum>
  <w:abstractNum w:abstractNumId="2">
    <w:nsid w:val="7D172C88"/>
    <w:multiLevelType w:val="multilevel"/>
    <w:tmpl w:val="7D172C88"/>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pStyle w:val="4"/>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4ZTg4M2U0NTA1Yjk0NmMzNGRjOTgzYTYzMzI1ZjAifQ=="/>
    <w:docVar w:name="KSO_WPS_MARK_KEY" w:val="e4bc2cba-66fe-429f-ba92-2cbaf694d546"/>
  </w:docVars>
  <w:rsids>
    <w:rsidRoot w:val="00160414"/>
    <w:rsid w:val="000825F0"/>
    <w:rsid w:val="000C3086"/>
    <w:rsid w:val="000E0246"/>
    <w:rsid w:val="00160414"/>
    <w:rsid w:val="002459E8"/>
    <w:rsid w:val="002A273E"/>
    <w:rsid w:val="003133C0"/>
    <w:rsid w:val="004774CB"/>
    <w:rsid w:val="005065A3"/>
    <w:rsid w:val="00590420"/>
    <w:rsid w:val="00685E07"/>
    <w:rsid w:val="006B3600"/>
    <w:rsid w:val="007742EF"/>
    <w:rsid w:val="00AE480A"/>
    <w:rsid w:val="00B806ED"/>
    <w:rsid w:val="00B87098"/>
    <w:rsid w:val="00D40B56"/>
    <w:rsid w:val="00DE45CE"/>
    <w:rsid w:val="012940D1"/>
    <w:rsid w:val="029B1E70"/>
    <w:rsid w:val="02D654AF"/>
    <w:rsid w:val="03AA5D47"/>
    <w:rsid w:val="041D2E3E"/>
    <w:rsid w:val="047F2D99"/>
    <w:rsid w:val="056E7CDC"/>
    <w:rsid w:val="05B922DB"/>
    <w:rsid w:val="05DB29DC"/>
    <w:rsid w:val="06533B98"/>
    <w:rsid w:val="07116875"/>
    <w:rsid w:val="076B7D89"/>
    <w:rsid w:val="07C952E1"/>
    <w:rsid w:val="080F5CF4"/>
    <w:rsid w:val="08D36F08"/>
    <w:rsid w:val="08F95F13"/>
    <w:rsid w:val="0A177892"/>
    <w:rsid w:val="0AA17B2E"/>
    <w:rsid w:val="0AC77248"/>
    <w:rsid w:val="0CE37977"/>
    <w:rsid w:val="0D1312F0"/>
    <w:rsid w:val="0D1B29E5"/>
    <w:rsid w:val="0D9E6986"/>
    <w:rsid w:val="0F0E12B6"/>
    <w:rsid w:val="0F59167F"/>
    <w:rsid w:val="0F6A47D7"/>
    <w:rsid w:val="110D7987"/>
    <w:rsid w:val="11237C0B"/>
    <w:rsid w:val="117E7900"/>
    <w:rsid w:val="121F5BBC"/>
    <w:rsid w:val="12834F0C"/>
    <w:rsid w:val="1437094C"/>
    <w:rsid w:val="152F290C"/>
    <w:rsid w:val="15920F97"/>
    <w:rsid w:val="16021916"/>
    <w:rsid w:val="164369EA"/>
    <w:rsid w:val="16AE750E"/>
    <w:rsid w:val="181813C6"/>
    <w:rsid w:val="182D4A4A"/>
    <w:rsid w:val="184134C6"/>
    <w:rsid w:val="189C546A"/>
    <w:rsid w:val="198369CE"/>
    <w:rsid w:val="19F8689F"/>
    <w:rsid w:val="1B886D73"/>
    <w:rsid w:val="1B98030A"/>
    <w:rsid w:val="1CA25648"/>
    <w:rsid w:val="1D71626E"/>
    <w:rsid w:val="1EBD5492"/>
    <w:rsid w:val="1EE50723"/>
    <w:rsid w:val="1F1C0883"/>
    <w:rsid w:val="20564AC7"/>
    <w:rsid w:val="220F17A9"/>
    <w:rsid w:val="22D622C7"/>
    <w:rsid w:val="230F43FB"/>
    <w:rsid w:val="231D1AE7"/>
    <w:rsid w:val="23841EAA"/>
    <w:rsid w:val="24003A9F"/>
    <w:rsid w:val="242558EC"/>
    <w:rsid w:val="24C3545E"/>
    <w:rsid w:val="25F3318F"/>
    <w:rsid w:val="26EB53D7"/>
    <w:rsid w:val="27542DB5"/>
    <w:rsid w:val="27566014"/>
    <w:rsid w:val="27A87B45"/>
    <w:rsid w:val="28D87CF8"/>
    <w:rsid w:val="28EE6CCE"/>
    <w:rsid w:val="29516251"/>
    <w:rsid w:val="2B482EB9"/>
    <w:rsid w:val="2B6D5051"/>
    <w:rsid w:val="2D4F6AB8"/>
    <w:rsid w:val="2DF91AC2"/>
    <w:rsid w:val="2E1B6576"/>
    <w:rsid w:val="2E720EE9"/>
    <w:rsid w:val="320C76B2"/>
    <w:rsid w:val="332F60CE"/>
    <w:rsid w:val="33786129"/>
    <w:rsid w:val="33E03AE5"/>
    <w:rsid w:val="343C3D07"/>
    <w:rsid w:val="344B1EFA"/>
    <w:rsid w:val="34FD33FE"/>
    <w:rsid w:val="356D79F8"/>
    <w:rsid w:val="357D5553"/>
    <w:rsid w:val="36730100"/>
    <w:rsid w:val="392B3997"/>
    <w:rsid w:val="3974084A"/>
    <w:rsid w:val="39A16C07"/>
    <w:rsid w:val="39BA1BA2"/>
    <w:rsid w:val="3A2F1E36"/>
    <w:rsid w:val="3AA3595F"/>
    <w:rsid w:val="3BA74221"/>
    <w:rsid w:val="3BF6292F"/>
    <w:rsid w:val="3C7402A0"/>
    <w:rsid w:val="3C9D078D"/>
    <w:rsid w:val="3CA64B08"/>
    <w:rsid w:val="3D796D0B"/>
    <w:rsid w:val="3EA96E57"/>
    <w:rsid w:val="3EAF5049"/>
    <w:rsid w:val="3ED30FDA"/>
    <w:rsid w:val="3F0538C0"/>
    <w:rsid w:val="40322FEF"/>
    <w:rsid w:val="40361302"/>
    <w:rsid w:val="40600600"/>
    <w:rsid w:val="40D6270A"/>
    <w:rsid w:val="41102F97"/>
    <w:rsid w:val="417857ED"/>
    <w:rsid w:val="42672CCC"/>
    <w:rsid w:val="43707C19"/>
    <w:rsid w:val="43C7185E"/>
    <w:rsid w:val="43F90DBC"/>
    <w:rsid w:val="444C3D3F"/>
    <w:rsid w:val="45695094"/>
    <w:rsid w:val="45696883"/>
    <w:rsid w:val="46833A63"/>
    <w:rsid w:val="47053874"/>
    <w:rsid w:val="49EB4CB2"/>
    <w:rsid w:val="4A6A7EB9"/>
    <w:rsid w:val="4A6F0787"/>
    <w:rsid w:val="4BE660C9"/>
    <w:rsid w:val="4C037485"/>
    <w:rsid w:val="4C221390"/>
    <w:rsid w:val="4CEB778A"/>
    <w:rsid w:val="4D297313"/>
    <w:rsid w:val="4DB44CA1"/>
    <w:rsid w:val="4DB60F8B"/>
    <w:rsid w:val="4DCE2ACB"/>
    <w:rsid w:val="4DE57CA2"/>
    <w:rsid w:val="4EA40BD3"/>
    <w:rsid w:val="4EF063A1"/>
    <w:rsid w:val="4F370862"/>
    <w:rsid w:val="5022304E"/>
    <w:rsid w:val="50334005"/>
    <w:rsid w:val="50AD51D6"/>
    <w:rsid w:val="51B756DD"/>
    <w:rsid w:val="51EE315A"/>
    <w:rsid w:val="521C106E"/>
    <w:rsid w:val="5254657B"/>
    <w:rsid w:val="52662EF6"/>
    <w:rsid w:val="54260F0F"/>
    <w:rsid w:val="546926EB"/>
    <w:rsid w:val="54834113"/>
    <w:rsid w:val="56613358"/>
    <w:rsid w:val="5725475D"/>
    <w:rsid w:val="575E609C"/>
    <w:rsid w:val="57633422"/>
    <w:rsid w:val="587A4572"/>
    <w:rsid w:val="58D53CB9"/>
    <w:rsid w:val="5A893C35"/>
    <w:rsid w:val="5C36791B"/>
    <w:rsid w:val="5CBC62E1"/>
    <w:rsid w:val="5D604664"/>
    <w:rsid w:val="5E687F2E"/>
    <w:rsid w:val="5FC07A4A"/>
    <w:rsid w:val="624F66D2"/>
    <w:rsid w:val="62ED115F"/>
    <w:rsid w:val="633B7080"/>
    <w:rsid w:val="63857653"/>
    <w:rsid w:val="63CF091A"/>
    <w:rsid w:val="64E8771B"/>
    <w:rsid w:val="653A6404"/>
    <w:rsid w:val="65A4197B"/>
    <w:rsid w:val="65BF0EA7"/>
    <w:rsid w:val="66B147CA"/>
    <w:rsid w:val="66C2337C"/>
    <w:rsid w:val="66C46969"/>
    <w:rsid w:val="67307392"/>
    <w:rsid w:val="6759214B"/>
    <w:rsid w:val="67D957CB"/>
    <w:rsid w:val="69566EA7"/>
    <w:rsid w:val="6AE96185"/>
    <w:rsid w:val="6B5E1906"/>
    <w:rsid w:val="6C7672FB"/>
    <w:rsid w:val="6D800432"/>
    <w:rsid w:val="6D925C43"/>
    <w:rsid w:val="6DAF734C"/>
    <w:rsid w:val="6E263140"/>
    <w:rsid w:val="6E4C0627"/>
    <w:rsid w:val="6E4E51BB"/>
    <w:rsid w:val="6F2559A1"/>
    <w:rsid w:val="6FD9707C"/>
    <w:rsid w:val="723F14EE"/>
    <w:rsid w:val="72872262"/>
    <w:rsid w:val="728944E2"/>
    <w:rsid w:val="738A687C"/>
    <w:rsid w:val="73CD1EF7"/>
    <w:rsid w:val="73DA35B4"/>
    <w:rsid w:val="73FF0750"/>
    <w:rsid w:val="743B1CD7"/>
    <w:rsid w:val="744A6EDF"/>
    <w:rsid w:val="7573144A"/>
    <w:rsid w:val="7678652D"/>
    <w:rsid w:val="769772DE"/>
    <w:rsid w:val="7714322D"/>
    <w:rsid w:val="77C82703"/>
    <w:rsid w:val="781F61DE"/>
    <w:rsid w:val="78657EDB"/>
    <w:rsid w:val="790306EB"/>
    <w:rsid w:val="799E27B4"/>
    <w:rsid w:val="799E79FF"/>
    <w:rsid w:val="79A62783"/>
    <w:rsid w:val="79A64265"/>
    <w:rsid w:val="7A797B0F"/>
    <w:rsid w:val="7AA923FC"/>
    <w:rsid w:val="7AD90A2F"/>
    <w:rsid w:val="7C0A6D8E"/>
    <w:rsid w:val="7D8212F8"/>
    <w:rsid w:val="7D970B79"/>
    <w:rsid w:val="7DD0573A"/>
    <w:rsid w:val="7E2F6E92"/>
    <w:rsid w:val="7E33683F"/>
    <w:rsid w:val="7E7260A2"/>
    <w:rsid w:val="7E7E276B"/>
    <w:rsid w:val="7E80113D"/>
    <w:rsid w:val="7EC82343"/>
    <w:rsid w:val="7EF20A57"/>
    <w:rsid w:val="7F631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outlineLvl w:val="1"/>
    </w:pPr>
    <w:rPr>
      <w:rFonts w:ascii="Arial" w:hAnsi="Arial" w:eastAsia="Times New Roman"/>
      <w:b/>
      <w:color w:val="00B0F0"/>
      <w:sz w:val="36"/>
    </w:rPr>
  </w:style>
  <w:style w:type="paragraph" w:styleId="3">
    <w:name w:val="heading 3"/>
    <w:basedOn w:val="1"/>
    <w:next w:val="1"/>
    <w:qFormat/>
    <w:uiPriority w:val="0"/>
    <w:pPr>
      <w:adjustRightInd w:val="0"/>
      <w:spacing w:line="360" w:lineRule="auto"/>
      <w:textAlignment w:val="baseline"/>
      <w:outlineLvl w:val="2"/>
    </w:pPr>
    <w:rPr>
      <w:rFonts w:eastAsia="黑体"/>
      <w:sz w:val="28"/>
    </w:rPr>
  </w:style>
  <w:style w:type="paragraph" w:styleId="4">
    <w:name w:val="heading 4"/>
    <w:basedOn w:val="1"/>
    <w:next w:val="1"/>
    <w:qFormat/>
    <w:uiPriority w:val="1"/>
    <w:pPr>
      <w:keepNext/>
      <w:keepLines/>
      <w:numPr>
        <w:ilvl w:val="3"/>
        <w:numId w:val="1"/>
      </w:numPr>
      <w:snapToGrid w:val="0"/>
      <w:jc w:val="left"/>
      <w:outlineLvl w:val="3"/>
    </w:pPr>
    <w:rPr>
      <w:b/>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4"/>
    <w:qFormat/>
    <w:uiPriority w:val="0"/>
    <w:pPr>
      <w:ind w:firstLine="420"/>
    </w:pPr>
    <w:rPr>
      <w:sz w:val="28"/>
    </w:rPr>
  </w:style>
  <w:style w:type="paragraph" w:styleId="6">
    <w:name w:val="annotation text"/>
    <w:basedOn w:val="1"/>
    <w:semiHidden/>
    <w:qFormat/>
    <w:uiPriority w:val="0"/>
    <w:pPr>
      <w:jc w:val="left"/>
    </w:pPr>
    <w:rPr>
      <w:kern w:val="0"/>
      <w:sz w:val="24"/>
    </w:rPr>
  </w:style>
  <w:style w:type="paragraph" w:styleId="7">
    <w:name w:val="Body Text"/>
    <w:basedOn w:val="1"/>
    <w:next w:val="8"/>
    <w:qFormat/>
    <w:uiPriority w:val="0"/>
    <w:pPr>
      <w:widowControl/>
      <w:snapToGrid w:val="0"/>
      <w:spacing w:before="60" w:after="160" w:line="259" w:lineRule="auto"/>
      <w:ind w:right="113"/>
    </w:pPr>
    <w:rPr>
      <w:kern w:val="0"/>
      <w:sz w:val="18"/>
    </w:rPr>
  </w:style>
  <w:style w:type="paragraph" w:styleId="8">
    <w:name w:val="Body Text 2"/>
    <w:basedOn w:val="1"/>
    <w:qFormat/>
    <w:uiPriority w:val="0"/>
    <w:pPr>
      <w:spacing w:after="120" w:line="480" w:lineRule="auto"/>
    </w:pPr>
  </w:style>
  <w:style w:type="paragraph" w:styleId="9">
    <w:name w:val="Body Text Indent"/>
    <w:basedOn w:val="1"/>
    <w:next w:val="4"/>
    <w:link w:val="23"/>
    <w:semiHidden/>
    <w:unhideWhenUsed/>
    <w:qFormat/>
    <w:uiPriority w:val="99"/>
    <w:pPr>
      <w:spacing w:after="120"/>
      <w:ind w:left="420" w:leftChars="200"/>
    </w:pPr>
  </w:style>
  <w:style w:type="paragraph" w:styleId="10">
    <w:name w:val="footer"/>
    <w:basedOn w:val="1"/>
    <w:semiHidden/>
    <w:unhideWhenUsed/>
    <w:qFormat/>
    <w:uiPriority w:val="99"/>
    <w:pPr>
      <w:tabs>
        <w:tab w:val="center" w:pos="4153"/>
        <w:tab w:val="right" w:pos="8306"/>
      </w:tabs>
      <w:snapToGrid w:val="0"/>
      <w:jc w:val="left"/>
    </w:pPr>
    <w:rPr>
      <w:sz w:val="18"/>
    </w:rPr>
  </w:style>
  <w:style w:type="paragraph" w:styleId="11">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2"/>
    <w:basedOn w:val="1"/>
    <w:next w:val="1"/>
    <w:qFormat/>
    <w:uiPriority w:val="0"/>
    <w:pPr>
      <w:ind w:left="420" w:leftChars="200"/>
    </w:pPr>
  </w:style>
  <w:style w:type="paragraph" w:styleId="13">
    <w:name w:val="Body Text First Indent"/>
    <w:basedOn w:val="7"/>
    <w:next w:val="9"/>
    <w:unhideWhenUsed/>
    <w:qFormat/>
    <w:uiPriority w:val="99"/>
    <w:pPr>
      <w:ind w:firstLine="420" w:firstLineChars="100"/>
    </w:pPr>
  </w:style>
  <w:style w:type="paragraph" w:styleId="14">
    <w:name w:val="Body Text First Indent 2"/>
    <w:basedOn w:val="9"/>
    <w:next w:val="13"/>
    <w:link w:val="24"/>
    <w:semiHidden/>
    <w:unhideWhenUsed/>
    <w:qFormat/>
    <w:uiPriority w:val="99"/>
    <w:pPr>
      <w:ind w:firstLine="420" w:firstLineChars="200"/>
    </w:pPr>
  </w:style>
  <w:style w:type="character" w:styleId="17">
    <w:name w:val="annotation reference"/>
    <w:semiHidden/>
    <w:qFormat/>
    <w:uiPriority w:val="0"/>
    <w:rPr>
      <w:sz w:val="21"/>
    </w:rPr>
  </w:style>
  <w:style w:type="paragraph" w:customStyle="1" w:styleId="18">
    <w:name w:val="Default"/>
    <w:basedOn w:val="19"/>
    <w:next w:val="1"/>
    <w:qFormat/>
    <w:uiPriority w:val="0"/>
    <w:pPr>
      <w:tabs>
        <w:tab w:val="left" w:pos="2760"/>
      </w:tabs>
      <w:autoSpaceDE w:val="0"/>
      <w:autoSpaceDN w:val="0"/>
    </w:pPr>
    <w:rPr>
      <w:rFonts w:ascii="仿宋_GB2312" w:hAnsi="仿宋_GB2312" w:eastAsia="仿宋_GB2312"/>
      <w:color w:val="000000"/>
      <w:kern w:val="0"/>
      <w:sz w:val="24"/>
      <w:szCs w:val="22"/>
    </w:rPr>
  </w:style>
  <w:style w:type="paragraph" w:customStyle="1" w:styleId="19">
    <w:name w:val="纯文本1"/>
    <w:basedOn w:val="1"/>
    <w:qFormat/>
    <w:uiPriority w:val="0"/>
    <w:pPr>
      <w:tabs>
        <w:tab w:val="left" w:pos="2760"/>
      </w:tabs>
      <w:adjustRightInd w:val="0"/>
    </w:pPr>
    <w:rPr>
      <w:rFonts w:ascii="宋体" w:hAnsi="Courier New"/>
    </w:rPr>
  </w:style>
  <w:style w:type="paragraph" w:customStyle="1" w:styleId="20">
    <w:name w:val="样式35"/>
    <w:basedOn w:val="1"/>
    <w:next w:val="21"/>
    <w:qFormat/>
    <w:uiPriority w:val="0"/>
    <w:pPr>
      <w:spacing w:line="312" w:lineRule="auto"/>
      <w:ind w:firstLine="567"/>
    </w:pPr>
    <w:rPr>
      <w:rFonts w:ascii="宋体"/>
      <w:sz w:val="28"/>
    </w:rPr>
  </w:style>
  <w:style w:type="paragraph" w:customStyle="1" w:styleId="21">
    <w:name w:val="font6"/>
    <w:basedOn w:val="1"/>
    <w:next w:val="12"/>
    <w:qFormat/>
    <w:uiPriority w:val="0"/>
    <w:pPr>
      <w:widowControl/>
      <w:spacing w:before="280" w:after="280"/>
    </w:pPr>
  </w:style>
  <w:style w:type="paragraph" w:customStyle="1" w:styleId="22">
    <w:name w:val="Body Text 21"/>
    <w:basedOn w:val="1"/>
    <w:qFormat/>
    <w:uiPriority w:val="0"/>
    <w:pPr>
      <w:spacing w:after="120" w:line="480" w:lineRule="auto"/>
    </w:pPr>
  </w:style>
  <w:style w:type="character" w:customStyle="1" w:styleId="23">
    <w:name w:val="正文文本缩进 字符"/>
    <w:basedOn w:val="16"/>
    <w:link w:val="9"/>
    <w:semiHidden/>
    <w:qFormat/>
    <w:uiPriority w:val="99"/>
    <w:rPr>
      <w:rFonts w:ascii="Times New Roman" w:hAnsi="Times New Roman" w:eastAsia="宋体" w:cs="Times New Roman"/>
      <w:szCs w:val="20"/>
    </w:rPr>
  </w:style>
  <w:style w:type="character" w:customStyle="1" w:styleId="24">
    <w:name w:val="正文文本首行缩进 2 字符"/>
    <w:basedOn w:val="23"/>
    <w:link w:val="14"/>
    <w:semiHidden/>
    <w:qFormat/>
    <w:uiPriority w:val="99"/>
    <w:rPr>
      <w:rFonts w:ascii="Times New Roman" w:hAnsi="Times New Roman" w:eastAsia="宋体" w:cs="Times New Roman"/>
      <w:szCs w:val="20"/>
    </w:rPr>
  </w:style>
  <w:style w:type="paragraph" w:customStyle="1" w:styleId="25">
    <w:name w:val="样式 首行缩进:  2 字符1"/>
    <w:basedOn w:val="1"/>
    <w:qFormat/>
    <w:uiPriority w:val="0"/>
    <w:pPr>
      <w:adjustRightInd w:val="0"/>
      <w:snapToGrid w:val="0"/>
      <w:spacing w:line="360" w:lineRule="auto"/>
      <w:ind w:firstLine="480"/>
    </w:pPr>
    <w:rPr>
      <w:rFonts w:cs="宋体"/>
    </w:rPr>
  </w:style>
  <w:style w:type="paragraph" w:customStyle="1" w:styleId="26">
    <w:name w:val="Table Paragraph"/>
    <w:basedOn w:val="1"/>
    <w:qFormat/>
    <w:uiPriority w:val="1"/>
    <w:rPr>
      <w:rFonts w:ascii="宋体" w:hAnsi="宋体" w:cs="宋体"/>
      <w:lang w:val="zh-CN" w:bidi="zh-CN"/>
    </w:rPr>
  </w:style>
  <w:style w:type="paragraph" w:customStyle="1" w:styleId="27">
    <w:name w:val="表格内"/>
    <w:basedOn w:val="1"/>
    <w:qFormat/>
    <w:uiPriority w:val="0"/>
    <w:pPr>
      <w:widowControl/>
      <w:adjustRightInd w:val="0"/>
      <w:snapToGrid w:val="0"/>
      <w:spacing w:after="200" w:line="360" w:lineRule="exact"/>
      <w:ind w:firstLine="720" w:firstLineChars="200"/>
      <w:jc w:val="center"/>
    </w:pPr>
    <w:rPr>
      <w:rFonts w:ascii="Calibri" w:hAnsi="Calibri" w:eastAsia="微软雅黑"/>
      <w:kern w:val="0"/>
      <w:sz w:val="2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6</Pages>
  <Words>2097</Words>
  <Characters>2253</Characters>
  <Lines>14</Lines>
  <Paragraphs>4</Paragraphs>
  <TotalTime>2</TotalTime>
  <ScaleCrop>false</ScaleCrop>
  <LinksUpToDate>false</LinksUpToDate>
  <CharactersWithSpaces>2287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2024-09-09T05:36:00Z</dcterms:created>
  <dc:creator>China</dc:creator>
  <cp:lastModifiedBy>      |     </cp:lastModifiedBy>
  <cp:lastPrinted>2022-11-07T05:10:00Z</cp:lastPrinted>
  <dcterms:modified xsi:type="dcterms:W3CDTF">2024-12-31T03:09:27Z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5D108999F20841938EBAB9E71191E178_13</vt:lpwstr>
  </property>
  <property fmtid="{D5CDD505-2E9C-101B-9397-08002B2CF9AE}" pid="4" name="KSOTemplateDocerSaveRecord">
    <vt:lpwstr>eyJoZGlkIjoiN2YzNjBkOTgyNWQ1YTMxYzM3MzMwNWFiODNmOWIzYWMiLCJ1c2VySWQiOiIyNjk4OTE0NzIifQ==</vt:lpwstr>
  </property>
</Properties>
</file>