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20A41">
      <w:pPr>
        <w:keepNext w:val="0"/>
        <w:keepLines w:val="0"/>
        <w:pageBreakBefore w:val="0"/>
        <w:kinsoku/>
        <w:wordWrap/>
        <w:overflowPunct/>
        <w:topLinePunct w:val="0"/>
        <w:bidi w:val="0"/>
        <w:adjustRightInd/>
        <w:spacing w:line="560" w:lineRule="exact"/>
        <w:jc w:val="center"/>
        <w:textAlignment w:val="auto"/>
        <w:rPr>
          <w:rFonts w:ascii="仿宋_GB2312" w:hAnsi="仿宋_GB2312" w:cs="仿宋_GB2312" w:eastAsiaTheme="minorEastAsia"/>
          <w:sz w:val="32"/>
          <w:szCs w:val="32"/>
        </w:rPr>
      </w:pPr>
      <w:bookmarkStart w:id="0" w:name="OLE_LINK9"/>
      <w:bookmarkStart w:id="1" w:name="OLE_LINK1"/>
    </w:p>
    <w:p w14:paraId="3AA0EFEB">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7EFD110E">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11B2966B">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76C9B240">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6C0ACB3F">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6E24E5A3">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38ED477D">
      <w:pPr>
        <w:pStyle w:val="23"/>
        <w:keepNext w:val="0"/>
        <w:keepLines w:val="0"/>
        <w:pageBreakBefore w:val="0"/>
        <w:kinsoku/>
        <w:wordWrap/>
        <w:overflowPunct/>
        <w:topLinePunct w:val="0"/>
        <w:bidi w:val="0"/>
        <w:adjustRightInd/>
        <w:spacing w:line="560" w:lineRule="exact"/>
        <w:jc w:val="center"/>
        <w:textAlignment w:val="auto"/>
        <w:rPr>
          <w:rFonts w:cs="仿宋_GB2312"/>
          <w:color w:val="auto"/>
          <w:sz w:val="32"/>
          <w:szCs w:val="32"/>
        </w:rPr>
      </w:pPr>
    </w:p>
    <w:p w14:paraId="6985A8DE">
      <w:pPr>
        <w:pStyle w:val="23"/>
        <w:keepNext w:val="0"/>
        <w:keepLines w:val="0"/>
        <w:pageBreakBefore w:val="0"/>
        <w:kinsoku/>
        <w:wordWrap/>
        <w:overflowPunct/>
        <w:topLinePunct w:val="0"/>
        <w:bidi w:val="0"/>
        <w:adjustRightInd/>
        <w:spacing w:line="560" w:lineRule="exact"/>
        <w:jc w:val="both"/>
        <w:textAlignment w:val="auto"/>
        <w:rPr>
          <w:rFonts w:cs="仿宋_GB2312"/>
          <w:color w:val="auto"/>
          <w:sz w:val="32"/>
          <w:szCs w:val="32"/>
        </w:rPr>
      </w:pPr>
    </w:p>
    <w:p w14:paraId="634C86C5">
      <w:pPr>
        <w:pStyle w:val="2"/>
        <w:ind w:left="0" w:leftChars="0" w:firstLine="0" w:firstLineChars="0"/>
        <w:jc w:val="center"/>
        <w:rPr>
          <w:color w:val="auto"/>
        </w:rPr>
      </w:pPr>
      <w:r>
        <w:rPr>
          <w:rFonts w:hint="eastAsia" w:eastAsia="楷体_GB2312"/>
          <w:color w:val="auto"/>
          <w:sz w:val="32"/>
          <w:szCs w:val="32"/>
        </w:rPr>
        <w:t>新准环评〔2024〕</w:t>
      </w:r>
      <w:r>
        <w:rPr>
          <w:rFonts w:hint="eastAsia" w:eastAsia="楷体_GB2312"/>
          <w:color w:val="auto"/>
          <w:sz w:val="32"/>
          <w:szCs w:val="32"/>
          <w:lang w:val="en-US" w:eastAsia="zh-CN"/>
        </w:rPr>
        <w:t>43</w:t>
      </w:r>
      <w:r>
        <w:rPr>
          <w:rFonts w:hint="eastAsia" w:eastAsia="楷体_GB2312"/>
          <w:color w:val="auto"/>
          <w:sz w:val="32"/>
          <w:szCs w:val="32"/>
        </w:rPr>
        <w:t>号</w:t>
      </w:r>
    </w:p>
    <w:p w14:paraId="6BEEC855">
      <w:pPr>
        <w:pStyle w:val="5"/>
        <w:rPr>
          <w:color w:val="auto"/>
        </w:rPr>
      </w:pPr>
    </w:p>
    <w:p w14:paraId="1695DEED">
      <w:pPr>
        <w:pStyle w:val="2"/>
        <w:ind w:left="0" w:leftChars="0" w:firstLine="0" w:firstLineChars="0"/>
        <w:jc w:val="center"/>
        <w:rPr>
          <w:color w:val="auto"/>
        </w:rPr>
      </w:pPr>
    </w:p>
    <w:p w14:paraId="5158373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关于《昌吉准东经济开发区天霖铝业制造有限公司危险废物暂存规范化项目（重大变动）环境影响报告表》的批复</w:t>
      </w:r>
    </w:p>
    <w:p w14:paraId="13CB1819">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p>
    <w:bookmarkEnd w:id="0"/>
    <w:bookmarkEnd w:id="1"/>
    <w:p w14:paraId="31703C8D">
      <w:pPr>
        <w:spacing w:line="560" w:lineRule="exact"/>
        <w:rPr>
          <w:rFonts w:eastAsia="仿宋_GB2312"/>
          <w:color w:val="auto"/>
          <w:sz w:val="32"/>
          <w:szCs w:val="32"/>
        </w:rPr>
      </w:pPr>
      <w:r>
        <w:rPr>
          <w:rFonts w:hint="eastAsia" w:eastAsia="仿宋_GB2312"/>
          <w:color w:val="auto"/>
          <w:sz w:val="32"/>
          <w:szCs w:val="32"/>
          <w:lang w:eastAsia="zh-CN"/>
        </w:rPr>
        <w:t>昌吉准东经济开发</w:t>
      </w:r>
      <w:r>
        <w:rPr>
          <w:rFonts w:hint="eastAsia" w:ascii="Times New Roman" w:hAnsi="Times New Roman" w:eastAsia="仿宋_GB2312" w:cs="Times New Roman"/>
          <w:color w:val="auto"/>
          <w:sz w:val="32"/>
          <w:szCs w:val="32"/>
          <w:lang w:eastAsia="zh-CN"/>
        </w:rPr>
        <w:t>区天霖铝业制</w:t>
      </w:r>
      <w:r>
        <w:rPr>
          <w:rFonts w:hint="eastAsia" w:eastAsia="仿宋_GB2312"/>
          <w:color w:val="auto"/>
          <w:sz w:val="32"/>
          <w:szCs w:val="32"/>
          <w:lang w:eastAsia="zh-CN"/>
        </w:rPr>
        <w:t>造有限公司</w:t>
      </w:r>
      <w:r>
        <w:rPr>
          <w:rFonts w:eastAsia="仿宋_GB2312"/>
          <w:color w:val="auto"/>
          <w:sz w:val="32"/>
          <w:szCs w:val="32"/>
        </w:rPr>
        <w:t>：</w:t>
      </w:r>
    </w:p>
    <w:p w14:paraId="23317DBB">
      <w:pPr>
        <w:autoSpaceDE w:val="0"/>
        <w:autoSpaceDN w:val="0"/>
        <w:adjustRightIn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你公司委托昌吉市</w:t>
      </w:r>
      <w:r>
        <w:rPr>
          <w:rFonts w:hint="eastAsia" w:ascii="Times New Roman" w:hAnsi="Times New Roman" w:eastAsia="仿宋_GB2312" w:cs="Times New Roman"/>
          <w:color w:val="auto"/>
          <w:sz w:val="32"/>
          <w:szCs w:val="32"/>
          <w:lang w:eastAsia="zh-CN"/>
        </w:rPr>
        <w:t>新瑞鑫诚环保咨询服务有限公司编制的《昌吉准东经济开发区天霖铝</w:t>
      </w:r>
      <w:r>
        <w:rPr>
          <w:rFonts w:hint="eastAsia" w:eastAsia="仿宋_GB2312"/>
          <w:color w:val="auto"/>
          <w:sz w:val="32"/>
          <w:szCs w:val="32"/>
          <w:lang w:eastAsia="zh-CN"/>
        </w:rPr>
        <w:t>业制造有限公司危险废物暂存规范化项目（</w:t>
      </w:r>
      <w:r>
        <w:rPr>
          <w:rFonts w:hint="eastAsia" w:eastAsia="仿宋_GB2312"/>
          <w:color w:val="auto"/>
          <w:sz w:val="32"/>
          <w:szCs w:val="32"/>
          <w:lang w:val="en-US" w:eastAsia="zh-CN"/>
        </w:rPr>
        <w:t>重大变动</w:t>
      </w:r>
      <w:r>
        <w:rPr>
          <w:rFonts w:hint="eastAsia" w:eastAsia="仿宋_GB2312"/>
          <w:color w:val="auto"/>
          <w:sz w:val="32"/>
          <w:szCs w:val="32"/>
          <w:lang w:eastAsia="zh-CN"/>
        </w:rPr>
        <w:t>）环境影响报告表</w:t>
      </w:r>
      <w:r>
        <w:rPr>
          <w:rFonts w:eastAsia="仿宋_GB2312"/>
          <w:color w:val="auto"/>
          <w:sz w:val="32"/>
          <w:szCs w:val="32"/>
        </w:rPr>
        <w:t>》</w:t>
      </w:r>
      <w:r>
        <w:rPr>
          <w:rFonts w:hint="eastAsia" w:eastAsia="仿宋_GB2312"/>
          <w:color w:val="auto"/>
          <w:sz w:val="32"/>
          <w:szCs w:val="32"/>
          <w:lang w:eastAsia="zh-CN"/>
        </w:rPr>
        <w:t>及申请材料</w:t>
      </w:r>
      <w:r>
        <w:rPr>
          <w:rFonts w:eastAsia="仿宋_GB2312"/>
          <w:color w:val="auto"/>
          <w:sz w:val="32"/>
          <w:szCs w:val="32"/>
        </w:rPr>
        <w:t>收悉</w:t>
      </w:r>
      <w:r>
        <w:rPr>
          <w:rFonts w:hint="eastAsia" w:eastAsia="仿宋_GB2312"/>
          <w:color w:val="auto"/>
          <w:sz w:val="32"/>
          <w:szCs w:val="32"/>
          <w:lang w:eastAsia="zh-CN"/>
        </w:rPr>
        <w:t>，</w:t>
      </w:r>
      <w:r>
        <w:rPr>
          <w:rFonts w:eastAsia="仿宋_GB2312"/>
          <w:color w:val="auto"/>
          <w:sz w:val="32"/>
          <w:szCs w:val="32"/>
        </w:rPr>
        <w:t>经研究，现批复如下</w:t>
      </w:r>
      <w:r>
        <w:rPr>
          <w:rFonts w:hint="eastAsia" w:eastAsia="仿宋_GB2312"/>
          <w:color w:val="auto"/>
          <w:sz w:val="32"/>
          <w:szCs w:val="32"/>
          <w:lang w:eastAsia="zh-CN"/>
        </w:rPr>
        <w:t>：</w:t>
      </w:r>
    </w:p>
    <w:p w14:paraId="42933493">
      <w:pPr>
        <w:numPr>
          <w:ilvl w:val="0"/>
          <w:numId w:val="1"/>
        </w:numPr>
        <w:autoSpaceDE w:val="0"/>
        <w:spacing w:line="56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rPr>
        <w:t>该</w:t>
      </w:r>
      <w:r>
        <w:rPr>
          <w:rFonts w:eastAsia="仿宋_GB2312"/>
          <w:color w:val="auto"/>
          <w:sz w:val="32"/>
          <w:szCs w:val="32"/>
        </w:rPr>
        <w:t>项目位于</w:t>
      </w:r>
      <w:r>
        <w:rPr>
          <w:rFonts w:hint="eastAsia" w:eastAsia="仿宋_GB2312"/>
          <w:color w:val="auto"/>
          <w:sz w:val="32"/>
          <w:szCs w:val="32"/>
          <w:lang w:val="en-US" w:eastAsia="zh-CN"/>
        </w:rPr>
        <w:t>新疆准东经济技术开</w:t>
      </w:r>
      <w:r>
        <w:rPr>
          <w:rFonts w:hint="eastAsia" w:ascii="Times New Roman" w:hAnsi="Times New Roman" w:eastAsia="仿宋_GB2312" w:cs="Times New Roman"/>
          <w:color w:val="auto"/>
          <w:sz w:val="32"/>
          <w:szCs w:val="32"/>
          <w:lang w:val="en-US" w:eastAsia="zh-CN"/>
        </w:rPr>
        <w:t>发区西部产业集中区火烧山产业园区天霖铝业制造有限公司厂区内，</w:t>
      </w:r>
      <w:r>
        <w:rPr>
          <w:rFonts w:hint="eastAsia" w:ascii="Times New Roman" w:hAnsi="Times New Roman" w:eastAsia="仿宋_GB2312" w:cs="Times New Roman"/>
          <w:color w:val="auto"/>
          <w:sz w:val="32"/>
          <w:szCs w:val="32"/>
          <w:highlight w:val="none"/>
          <w:lang w:val="en-US" w:eastAsia="zh-CN"/>
        </w:rPr>
        <w:t>该项目</w:t>
      </w:r>
      <w:r>
        <w:rPr>
          <w:rFonts w:hint="default" w:ascii="Times New Roman" w:hAnsi="Times New Roman" w:eastAsia="仿宋_GB2312" w:cs="Times New Roman"/>
          <w:color w:val="auto"/>
          <w:sz w:val="32"/>
          <w:szCs w:val="32"/>
          <w:highlight w:val="none"/>
          <w:u w:val="none"/>
        </w:rPr>
        <w:t>为</w:t>
      </w:r>
      <w:r>
        <w:rPr>
          <w:rFonts w:hint="eastAsia" w:eastAsia="仿宋_GB2312" w:cs="Times New Roman"/>
          <w:color w:val="auto"/>
          <w:sz w:val="32"/>
          <w:szCs w:val="32"/>
          <w:highlight w:val="none"/>
          <w:u w:val="none"/>
          <w:lang w:eastAsia="zh-CN"/>
        </w:rPr>
        <w:t>技术改造</w:t>
      </w:r>
      <w:r>
        <w:rPr>
          <w:rFonts w:hint="default" w:ascii="Times New Roman" w:hAnsi="Times New Roman" w:eastAsia="仿宋_GB2312" w:cs="Times New Roman"/>
          <w:color w:val="auto"/>
          <w:sz w:val="32"/>
          <w:szCs w:val="32"/>
          <w:highlight w:val="none"/>
          <w:u w:val="none"/>
        </w:rPr>
        <w:t>项目</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申报情形为</w:t>
      </w:r>
      <w:r>
        <w:rPr>
          <w:rFonts w:hint="default" w:ascii="Times New Roman" w:hAnsi="Times New Roman" w:eastAsia="仿宋_GB2312" w:cs="Times New Roman"/>
          <w:color w:val="auto"/>
          <w:sz w:val="32"/>
          <w:szCs w:val="32"/>
          <w:highlight w:val="none"/>
          <w:u w:val="none"/>
        </w:rPr>
        <w:t>重大变动重新报批项目</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原项目于</w:t>
      </w:r>
      <w:r>
        <w:rPr>
          <w:rFonts w:hint="eastAsia" w:eastAsia="仿宋_GB2312" w:cs="Times New Roman"/>
          <w:color w:val="auto"/>
          <w:sz w:val="32"/>
          <w:szCs w:val="32"/>
          <w:highlight w:val="none"/>
          <w:u w:val="none"/>
          <w:lang w:eastAsia="zh-CN"/>
        </w:rPr>
        <w:t>2022年11月29日取得《昌吉准东经济开发区天霖铝业制造有限公司危险废物暂存间规范化项目环境影响评价报告表》</w:t>
      </w:r>
      <w:r>
        <w:rPr>
          <w:rFonts w:hint="eastAsia"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eastAsia="zh-CN"/>
        </w:rPr>
        <w:t>新准环评〔2022〕50号）</w:t>
      </w:r>
      <w:r>
        <w:rPr>
          <w:rFonts w:hint="eastAsia" w:eastAsia="仿宋_GB2312" w:cs="Times New Roman"/>
          <w:color w:val="auto"/>
          <w:sz w:val="32"/>
          <w:szCs w:val="32"/>
          <w:highlight w:val="none"/>
          <w:u w:val="none"/>
          <w:lang w:val="en-US" w:eastAsia="zh-CN"/>
        </w:rPr>
        <w:t>批复，该批复中已获批200平方米与300平方米铝灰暂存间。因后期无法满足现有生产需求，故将200平方米暂存间变更为</w:t>
      </w:r>
      <w:r>
        <w:rPr>
          <w:rFonts w:hint="eastAsia" w:eastAsia="仿宋_GB2312" w:cs="Times New Roman"/>
          <w:color w:val="auto"/>
          <w:sz w:val="32"/>
          <w:szCs w:val="32"/>
          <w:highlight w:val="none"/>
          <w:u w:val="none"/>
          <w:lang w:val="en-US" w:eastAsia="zh-CN"/>
        </w:rPr>
        <w:t>库容为800吨占地</w:t>
      </w:r>
      <w:r>
        <w:rPr>
          <w:rFonts w:hint="eastAsia" w:eastAsia="仿宋_GB2312" w:cs="Times New Roman"/>
          <w:color w:val="auto"/>
          <w:sz w:val="32"/>
          <w:szCs w:val="32"/>
          <w:highlight w:val="none"/>
          <w:u w:val="none"/>
          <w:lang w:val="en-US" w:eastAsia="zh-CN"/>
        </w:rPr>
        <w:t>900平方米二次铝灰暂存间，原200平方米暂存间停用。再利用现有厂房改造一座</w:t>
      </w:r>
      <w:r>
        <w:rPr>
          <w:rFonts w:hint="eastAsia" w:eastAsia="仿宋_GB2312" w:cs="Times New Roman"/>
          <w:color w:val="auto"/>
          <w:sz w:val="32"/>
          <w:szCs w:val="32"/>
          <w:highlight w:val="none"/>
          <w:u w:val="none"/>
          <w:lang w:val="en-US" w:eastAsia="zh-CN"/>
        </w:rPr>
        <w:t>库容为400吨</w:t>
      </w:r>
      <w:r>
        <w:rPr>
          <w:rFonts w:hint="eastAsia" w:eastAsia="仿宋_GB2312" w:cs="Times New Roman"/>
          <w:color w:val="auto"/>
          <w:sz w:val="32"/>
          <w:szCs w:val="32"/>
          <w:highlight w:val="none"/>
          <w:u w:val="none"/>
          <w:lang w:val="en-US" w:eastAsia="zh-CN"/>
        </w:rPr>
        <w:t>占地500平方米铝灰暂存间。</w:t>
      </w:r>
      <w:r>
        <w:rPr>
          <w:rFonts w:hint="eastAsia" w:eastAsia="仿宋_GB2312" w:cs="Times New Roman"/>
          <w:color w:val="auto"/>
          <w:sz w:val="32"/>
          <w:szCs w:val="32"/>
          <w:highlight w:val="none"/>
          <w:u w:val="none"/>
          <w:lang w:val="en-US" w:eastAsia="zh-CN"/>
        </w:rPr>
        <w:t>保留原</w:t>
      </w:r>
      <w:r>
        <w:rPr>
          <w:rFonts w:hint="eastAsia" w:eastAsia="仿宋_GB2312" w:cs="Times New Roman"/>
          <w:color w:val="auto"/>
          <w:sz w:val="32"/>
          <w:szCs w:val="32"/>
          <w:highlight w:val="none"/>
          <w:u w:val="none"/>
          <w:lang w:val="en-US" w:eastAsia="zh-CN"/>
        </w:rPr>
        <w:t>300平方米一次铝灰暂存间。</w:t>
      </w:r>
    </w:p>
    <w:p w14:paraId="6777EA11">
      <w:pPr>
        <w:pStyle w:val="2"/>
        <w:ind w:left="638" w:leftChars="304" w:firstLine="0" w:firstLineChars="0"/>
        <w:rPr>
          <w:rFonts w:hint="default" w:ascii="Times New Roman" w:hAnsi="Times New Roman" w:eastAsia="仿宋_GB2312" w:cs="Times New Roman"/>
          <w:color w:val="auto"/>
          <w:kern w:val="2"/>
          <w:sz w:val="32"/>
          <w:szCs w:val="32"/>
          <w:highlight w:val="none"/>
          <w:u w:val="none"/>
          <w:lang w:val="en-US" w:eastAsia="zh-CN" w:bidi="ar-SA"/>
        </w:rPr>
      </w:pPr>
      <w:r>
        <w:rPr>
          <w:rFonts w:hint="eastAsia" w:eastAsia="仿宋_GB2312" w:cs="Times New Roman"/>
          <w:color w:val="auto"/>
          <w:sz w:val="32"/>
          <w:szCs w:val="32"/>
          <w:highlight w:val="none"/>
          <w:u w:val="none"/>
          <w:lang w:val="en-US" w:eastAsia="zh-CN"/>
        </w:rPr>
        <w:t>主体工程：占地900平方米与500平方米二次铝灰暂存间。</w:t>
      </w:r>
      <w:r>
        <w:rPr>
          <w:rFonts w:hint="eastAsia" w:ascii="Times New Roman" w:hAnsi="Times New Roman" w:eastAsia="仿宋_GB2312" w:cs="Times New Roman"/>
          <w:color w:val="auto"/>
          <w:kern w:val="2"/>
          <w:sz w:val="32"/>
          <w:szCs w:val="32"/>
          <w:highlight w:val="none"/>
          <w:u w:val="none"/>
          <w:lang w:val="en-US" w:eastAsia="zh-CN" w:bidi="ar-SA"/>
        </w:rPr>
        <w:t>环保工程：</w:t>
      </w:r>
      <w:r>
        <w:rPr>
          <w:rFonts w:hint="default" w:ascii="Times New Roman" w:hAnsi="Times New Roman" w:eastAsia="仿宋_GB2312" w:cs="Times New Roman"/>
          <w:color w:val="auto"/>
          <w:kern w:val="2"/>
          <w:sz w:val="32"/>
          <w:szCs w:val="32"/>
          <w:highlight w:val="none"/>
          <w:u w:val="none"/>
          <w:lang w:val="en-US" w:eastAsia="zh-CN" w:bidi="ar-SA"/>
        </w:rPr>
        <w:t>暂存间设置排风扇</w:t>
      </w:r>
      <w:r>
        <w:rPr>
          <w:rFonts w:hint="eastAsia" w:ascii="Times New Roman" w:hAnsi="Times New Roman" w:eastAsia="仿宋_GB2312" w:cs="Times New Roman"/>
          <w:color w:val="auto"/>
          <w:kern w:val="2"/>
          <w:sz w:val="32"/>
          <w:szCs w:val="32"/>
          <w:highlight w:val="none"/>
          <w:u w:val="none"/>
          <w:lang w:val="en-US" w:eastAsia="zh-CN" w:bidi="ar-SA"/>
        </w:rPr>
        <w:t>。</w:t>
      </w:r>
    </w:p>
    <w:p w14:paraId="050CF63A">
      <w:pPr>
        <w:autoSpaceDE w:val="0"/>
        <w:spacing w:line="560" w:lineRule="exact"/>
        <w:ind w:firstLine="640" w:firstLineChars="200"/>
        <w:rPr>
          <w:rFonts w:eastAsia="仿宋_GB2312"/>
          <w:color w:val="auto"/>
          <w:sz w:val="32"/>
          <w:szCs w:val="32"/>
        </w:rPr>
      </w:pPr>
      <w:r>
        <w:rPr>
          <w:rFonts w:eastAsia="仿宋_GB2312"/>
          <w:color w:val="auto"/>
          <w:sz w:val="32"/>
          <w:szCs w:val="32"/>
        </w:rPr>
        <w:t>二、我局原则同意</w:t>
      </w:r>
      <w:r>
        <w:rPr>
          <w:rFonts w:hint="eastAsia" w:eastAsia="仿宋_GB2312"/>
          <w:color w:val="auto"/>
          <w:sz w:val="32"/>
          <w:szCs w:val="32"/>
          <w:lang w:eastAsia="zh-CN"/>
        </w:rPr>
        <w:t>你公司环境影响报告表</w:t>
      </w:r>
      <w:r>
        <w:rPr>
          <w:rFonts w:eastAsia="仿宋_GB2312"/>
          <w:color w:val="auto"/>
          <w:sz w:val="32"/>
          <w:szCs w:val="32"/>
        </w:rPr>
        <w:t>中所列建设项目规模、</w:t>
      </w:r>
      <w:r>
        <w:rPr>
          <w:rFonts w:hint="eastAsia" w:eastAsia="仿宋_GB2312"/>
          <w:color w:val="auto"/>
          <w:sz w:val="32"/>
          <w:szCs w:val="32"/>
          <w:lang w:eastAsia="zh-CN"/>
        </w:rPr>
        <w:t>工艺、</w:t>
      </w:r>
      <w:r>
        <w:rPr>
          <w:rFonts w:eastAsia="仿宋_GB2312"/>
          <w:color w:val="auto"/>
          <w:sz w:val="32"/>
          <w:szCs w:val="32"/>
        </w:rPr>
        <w:t>地点和</w:t>
      </w:r>
      <w:r>
        <w:rPr>
          <w:rFonts w:hint="eastAsia" w:eastAsia="仿宋_GB2312"/>
          <w:color w:val="auto"/>
          <w:sz w:val="32"/>
          <w:szCs w:val="32"/>
          <w:lang w:eastAsia="zh-CN"/>
        </w:rPr>
        <w:t>环境保护对策措施</w:t>
      </w:r>
      <w:r>
        <w:rPr>
          <w:rFonts w:eastAsia="仿宋_GB2312"/>
          <w:color w:val="auto"/>
          <w:sz w:val="32"/>
          <w:szCs w:val="32"/>
        </w:rPr>
        <w:t>。</w:t>
      </w:r>
    </w:p>
    <w:p w14:paraId="5B4D22E4">
      <w:pPr>
        <w:spacing w:line="560" w:lineRule="exact"/>
        <w:ind w:firstLine="640" w:firstLineChars="200"/>
        <w:rPr>
          <w:rFonts w:hint="eastAsia" w:eastAsia="仿宋_GB2312"/>
          <w:bCs/>
          <w:color w:val="auto"/>
          <w:sz w:val="32"/>
          <w:szCs w:val="32"/>
          <w:lang w:eastAsia="zh-CN"/>
        </w:rPr>
      </w:pPr>
      <w:r>
        <w:rPr>
          <w:rFonts w:eastAsia="仿宋_GB2312"/>
          <w:bCs/>
          <w:color w:val="auto"/>
          <w:sz w:val="32"/>
          <w:szCs w:val="32"/>
        </w:rPr>
        <w:t>三、</w:t>
      </w:r>
      <w:r>
        <w:rPr>
          <w:rFonts w:hint="eastAsia" w:eastAsia="仿宋_GB2312"/>
          <w:bCs/>
          <w:color w:val="auto"/>
          <w:sz w:val="32"/>
          <w:szCs w:val="32"/>
          <w:lang w:eastAsia="zh-CN"/>
        </w:rPr>
        <w:t>项目建设和运行管理中应重点做好以下工作</w:t>
      </w:r>
    </w:p>
    <w:p w14:paraId="6FEEFCD0">
      <w:pPr>
        <w:numPr>
          <w:ilvl w:val="0"/>
          <w:numId w:val="0"/>
        </w:numPr>
        <w:spacing w:line="560" w:lineRule="exact"/>
        <w:ind w:firstLine="640" w:firstLineChars="200"/>
        <w:rPr>
          <w:rFonts w:hint="eastAsia" w:eastAsia="仿宋_GB2312" w:cs="Times New Roman"/>
          <w:color w:val="auto"/>
          <w:kern w:val="2"/>
          <w:sz w:val="32"/>
          <w:szCs w:val="32"/>
          <w:highlight w:val="none"/>
          <w:u w:val="none"/>
          <w:lang w:val="en-US" w:eastAsia="zh-CN" w:bidi="ar-SA"/>
        </w:rPr>
      </w:pPr>
      <w:r>
        <w:rPr>
          <w:rFonts w:hint="eastAsia" w:eastAsia="仿宋_GB2312"/>
          <w:bCs/>
          <w:color w:val="auto"/>
          <w:sz w:val="32"/>
          <w:szCs w:val="32"/>
        </w:rPr>
        <w:t>（一）严格落实施工期各项环保措施。</w:t>
      </w:r>
      <w:r>
        <w:rPr>
          <w:rFonts w:hint="eastAsia" w:eastAsia="仿宋_GB2312" w:cs="Times New Roman"/>
          <w:color w:val="auto"/>
          <w:sz w:val="32"/>
          <w:szCs w:val="32"/>
          <w:highlight w:val="none"/>
          <w:u w:val="none"/>
          <w:lang w:eastAsia="zh-CN"/>
        </w:rPr>
        <w:t>施工现场定期清扫并洒水降尘，</w:t>
      </w:r>
      <w:r>
        <w:rPr>
          <w:rFonts w:hint="eastAsia" w:eastAsia="仿宋_GB2312"/>
          <w:bCs/>
          <w:color w:val="auto"/>
          <w:sz w:val="32"/>
          <w:szCs w:val="32"/>
        </w:rPr>
        <w:t>确保</w:t>
      </w:r>
      <w:r>
        <w:rPr>
          <w:rFonts w:hint="eastAsia" w:eastAsia="仿宋_GB2312"/>
          <w:bCs/>
          <w:color w:val="auto"/>
          <w:sz w:val="32"/>
          <w:szCs w:val="32"/>
          <w:lang w:eastAsia="zh-CN"/>
        </w:rPr>
        <w:t>厂界</w:t>
      </w:r>
      <w:r>
        <w:rPr>
          <w:rFonts w:hint="eastAsia" w:eastAsia="仿宋_GB2312"/>
          <w:bCs/>
          <w:color w:val="auto"/>
          <w:sz w:val="32"/>
          <w:szCs w:val="32"/>
        </w:rPr>
        <w:t>扬尘、噪声达标排放</w:t>
      </w:r>
      <w:r>
        <w:rPr>
          <w:rFonts w:hint="eastAsia" w:eastAsia="仿宋_GB2312"/>
          <w:bCs/>
          <w:color w:val="auto"/>
          <w:sz w:val="32"/>
          <w:szCs w:val="32"/>
          <w:lang w:eastAsia="zh-CN"/>
        </w:rPr>
        <w:t>。</w:t>
      </w:r>
      <w:r>
        <w:rPr>
          <w:rFonts w:hint="eastAsia" w:eastAsia="仿宋_GB2312" w:cs="Times New Roman"/>
          <w:color w:val="auto"/>
          <w:kern w:val="2"/>
          <w:sz w:val="32"/>
          <w:szCs w:val="32"/>
          <w:highlight w:val="none"/>
          <w:u w:val="none"/>
          <w:lang w:val="en-US" w:eastAsia="zh-CN" w:bidi="ar-SA"/>
        </w:rPr>
        <w:t>施工人员</w:t>
      </w:r>
      <w:r>
        <w:rPr>
          <w:rFonts w:hint="default" w:ascii="Times New Roman" w:hAnsi="Times New Roman" w:eastAsia="仿宋_GB2312" w:cs="Times New Roman"/>
          <w:color w:val="auto"/>
          <w:kern w:val="2"/>
          <w:sz w:val="32"/>
          <w:szCs w:val="32"/>
          <w:highlight w:val="none"/>
          <w:u w:val="none"/>
          <w:lang w:val="en-US" w:eastAsia="zh-CN" w:bidi="ar-SA"/>
        </w:rPr>
        <w:t>生活污水</w:t>
      </w:r>
      <w:r>
        <w:rPr>
          <w:rFonts w:hint="eastAsia" w:eastAsia="仿宋_GB2312" w:cs="Times New Roman"/>
          <w:color w:val="auto"/>
          <w:kern w:val="2"/>
          <w:sz w:val="32"/>
          <w:szCs w:val="32"/>
          <w:highlight w:val="none"/>
          <w:u w:val="none"/>
          <w:lang w:val="en-US" w:eastAsia="zh-CN" w:bidi="ar-SA"/>
        </w:rPr>
        <w:t>依托厂内现有设施收集和处理。建筑垃圾收集后可利用的优先进行再利用，不可利用的由施工方统一清运至建筑垃圾填埋场。</w:t>
      </w:r>
    </w:p>
    <w:p w14:paraId="27A5C27D">
      <w:pPr>
        <w:keepNext w:val="0"/>
        <w:keepLines w:val="0"/>
        <w:pageBreakBefore w:val="0"/>
        <w:numPr>
          <w:ilvl w:val="-1"/>
          <w:numId w:val="0"/>
        </w:numPr>
        <w:kinsoku/>
        <w:wordWrap/>
        <w:overflowPunct/>
        <w:topLinePunct w:val="0"/>
        <w:bidi w:val="0"/>
        <w:spacing w:line="550" w:lineRule="exact"/>
        <w:ind w:firstLine="640" w:firstLineChars="200"/>
        <w:textAlignment w:val="auto"/>
        <w:rPr>
          <w:rFonts w:hint="eastAsia" w:ascii="Times New Roman" w:hAnsi="Times New Roman" w:eastAsia="仿宋_GB2312" w:cs="Times New Roman"/>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二）</w:t>
      </w:r>
      <w:r>
        <w:rPr>
          <w:rFonts w:hint="eastAsia" w:ascii="Times New Roman" w:hAnsi="Times New Roman" w:eastAsia="仿宋_GB2312" w:cs="Times New Roman"/>
          <w:bCs/>
          <w:color w:val="auto"/>
          <w:sz w:val="32"/>
          <w:szCs w:val="32"/>
          <w:lang w:val="en-US" w:eastAsia="zh-CN"/>
        </w:rPr>
        <w:t>严格落实大气污染防治措施。铝灰均采用防水吨袋密闭包装存放，从入库到出库整个环节都保持密闭包装状态，减少颗粒物散落。暂存间内需合理设计通风换气装置加强空气流通，避免有毒有害气体大量积聚。暂存间内</w:t>
      </w:r>
      <w:r>
        <w:rPr>
          <w:rFonts w:hint="eastAsia" w:eastAsia="仿宋_GB2312" w:cs="Times New Roman"/>
          <w:bCs/>
          <w:color w:val="auto"/>
          <w:sz w:val="32"/>
          <w:szCs w:val="32"/>
          <w:lang w:val="en-US" w:eastAsia="zh-CN"/>
        </w:rPr>
        <w:t>采用</w:t>
      </w:r>
      <w:r>
        <w:rPr>
          <w:rFonts w:hint="eastAsia" w:ascii="Times New Roman" w:hAnsi="Times New Roman" w:eastAsia="仿宋_GB2312" w:cs="Times New Roman"/>
          <w:bCs/>
          <w:color w:val="auto"/>
          <w:sz w:val="32"/>
          <w:szCs w:val="32"/>
          <w:lang w:val="en-US" w:eastAsia="zh-CN"/>
        </w:rPr>
        <w:t>通风换气装置加强空气流通。确保厂界无组织氨气满足《恶臭污染物排放标准》</w:t>
      </w:r>
      <w:r>
        <w:rPr>
          <w:rFonts w:eastAsia="仿宋_GB2312"/>
          <w:bCs/>
          <w:color w:val="auto"/>
          <w:sz w:val="32"/>
          <w:szCs w:val="32"/>
        </w:rPr>
        <w:t>（</w:t>
      </w:r>
      <w:r>
        <w:rPr>
          <w:rFonts w:hint="eastAsia" w:ascii="Times New Roman" w:hAnsi="Times New Roman" w:eastAsia="仿宋_GB2312" w:cs="Times New Roman"/>
          <w:bCs/>
          <w:color w:val="auto"/>
          <w:sz w:val="32"/>
          <w:szCs w:val="32"/>
          <w:lang w:val="en-US" w:eastAsia="zh-CN"/>
        </w:rPr>
        <w:t>GB14554-93</w:t>
      </w:r>
      <w:r>
        <w:rPr>
          <w:rFonts w:eastAsia="仿宋_GB2312"/>
          <w:bCs/>
          <w:color w:val="auto"/>
          <w:sz w:val="32"/>
          <w:szCs w:val="32"/>
        </w:rPr>
        <w:t>）</w:t>
      </w:r>
      <w:r>
        <w:rPr>
          <w:rFonts w:hint="eastAsia" w:ascii="Times New Roman" w:hAnsi="Times New Roman" w:eastAsia="仿宋_GB2312" w:cs="Times New Roman"/>
          <w:bCs/>
          <w:color w:val="auto"/>
          <w:sz w:val="32"/>
          <w:szCs w:val="32"/>
          <w:lang w:val="en-US" w:eastAsia="zh-CN"/>
        </w:rPr>
        <w:t>表1恶臭污染物厂界标准限值</w:t>
      </w:r>
      <w:r>
        <w:rPr>
          <w:rFonts w:hint="eastAsia" w:ascii="Times New Roman" w:hAnsi="Times New Roman" w:eastAsia="仿宋_GB2312" w:cs="Times New Roman"/>
          <w:bCs/>
          <w:color w:val="auto"/>
          <w:sz w:val="32"/>
          <w:szCs w:val="32"/>
          <w:lang w:eastAsia="zh-CN"/>
        </w:rPr>
        <w:t>。</w:t>
      </w:r>
    </w:p>
    <w:p w14:paraId="3B63C0A8">
      <w:pPr>
        <w:numPr>
          <w:ilvl w:val="-1"/>
          <w:numId w:val="0"/>
        </w:numPr>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三</w:t>
      </w:r>
      <w:r>
        <w:rPr>
          <w:rFonts w:hint="eastAsia" w:eastAsia="仿宋_GB2312"/>
          <w:bCs/>
          <w:color w:val="auto"/>
          <w:sz w:val="32"/>
          <w:szCs w:val="32"/>
          <w:lang w:eastAsia="zh-CN"/>
        </w:rPr>
        <w:t>）</w:t>
      </w:r>
      <w:r>
        <w:rPr>
          <w:rFonts w:hint="eastAsia" w:ascii="Times New Roman" w:hAnsi="Times New Roman" w:eastAsia="仿宋_GB2312" w:cs="Times New Roman"/>
          <w:bCs/>
          <w:color w:val="auto"/>
          <w:sz w:val="32"/>
          <w:szCs w:val="32"/>
          <w:lang w:val="en-US" w:eastAsia="zh-CN"/>
        </w:rPr>
        <w:t>严格落实噪声污染防治措施。加强管理，文明生产，合理安排作业时间、生产工序。确保厂界噪声满足《工业企业厂界环境噪声排放标准》（GB12348-2008）3类标准限值要求。</w:t>
      </w:r>
    </w:p>
    <w:p w14:paraId="24AF95CC">
      <w:pPr>
        <w:pStyle w:val="21"/>
        <w:spacing w:line="560" w:lineRule="exact"/>
        <w:ind w:firstLine="640"/>
        <w:rPr>
          <w:rFonts w:hint="eastAsia" w:eastAsia="仿宋_GB2312" w:cs="Times New Roman"/>
          <w:color w:val="auto"/>
          <w:sz w:val="32"/>
          <w:szCs w:val="32"/>
          <w:highlight w:val="none"/>
          <w:u w:val="none"/>
          <w:lang w:val="en-US" w:eastAsia="zh-CN"/>
        </w:rPr>
      </w:pPr>
      <w:r>
        <w:rPr>
          <w:rFonts w:hint="eastAsia" w:eastAsia="仿宋_GB2312"/>
          <w:bCs/>
          <w:color w:val="auto"/>
          <w:sz w:val="32"/>
          <w:szCs w:val="32"/>
        </w:rPr>
        <w:t>（</w:t>
      </w:r>
      <w:r>
        <w:rPr>
          <w:rFonts w:hint="eastAsia" w:eastAsia="仿宋_GB2312"/>
          <w:bCs/>
          <w:color w:val="auto"/>
          <w:sz w:val="32"/>
          <w:szCs w:val="32"/>
          <w:lang w:val="en-US" w:eastAsia="zh-CN"/>
        </w:rPr>
        <w:t>四</w:t>
      </w:r>
      <w:r>
        <w:rPr>
          <w:rFonts w:hint="eastAsia" w:eastAsia="仿宋_GB2312"/>
          <w:bCs/>
          <w:color w:val="auto"/>
          <w:sz w:val="32"/>
          <w:szCs w:val="32"/>
        </w:rPr>
        <w:t>）</w:t>
      </w:r>
      <w:r>
        <w:rPr>
          <w:rFonts w:eastAsia="仿宋_GB2312"/>
          <w:bCs/>
          <w:color w:val="auto"/>
          <w:sz w:val="32"/>
          <w:szCs w:val="32"/>
        </w:rPr>
        <w:t>严格落实固废环境保护措施。</w:t>
      </w:r>
      <w:r>
        <w:rPr>
          <w:rFonts w:hint="eastAsia" w:eastAsia="仿宋_GB2312" w:cs="Times New Roman"/>
          <w:color w:val="auto"/>
          <w:sz w:val="32"/>
          <w:szCs w:val="32"/>
          <w:highlight w:val="none"/>
          <w:u w:val="none"/>
          <w:lang w:val="en-US" w:eastAsia="zh-CN"/>
        </w:rPr>
        <w:t>二次铝灰定期委托有资质的单位处置。</w:t>
      </w:r>
      <w:r>
        <w:rPr>
          <w:rFonts w:eastAsia="仿宋_GB2312"/>
          <w:bCs/>
          <w:color w:val="auto"/>
          <w:sz w:val="32"/>
          <w:szCs w:val="32"/>
        </w:rPr>
        <w:t>严格按照《危险废物贮存污染控制标准</w:t>
      </w:r>
      <w:r>
        <w:rPr>
          <w:rFonts w:hint="eastAsia" w:eastAsia="仿宋_GB2312"/>
          <w:bCs/>
          <w:color w:val="auto"/>
          <w:sz w:val="32"/>
          <w:szCs w:val="32"/>
          <w:lang w:eastAsia="zh-CN"/>
        </w:rPr>
        <w:t>》</w:t>
      </w:r>
      <w:r>
        <w:rPr>
          <w:rFonts w:eastAsia="仿宋_GB2312"/>
          <w:bCs/>
          <w:color w:val="auto"/>
          <w:sz w:val="32"/>
          <w:szCs w:val="32"/>
        </w:rPr>
        <w:t>（GB18597-2023）</w:t>
      </w:r>
      <w:r>
        <w:rPr>
          <w:rFonts w:hint="eastAsia" w:eastAsia="仿宋_GB2312"/>
          <w:bCs/>
          <w:color w:val="auto"/>
          <w:sz w:val="32"/>
          <w:szCs w:val="32"/>
          <w:lang w:eastAsia="zh-CN"/>
        </w:rPr>
        <w:t>规范收集和</w:t>
      </w:r>
      <w:r>
        <w:rPr>
          <w:rFonts w:hint="eastAsia" w:eastAsia="仿宋_GB2312" w:cs="Times New Roman"/>
          <w:color w:val="auto"/>
          <w:sz w:val="32"/>
          <w:szCs w:val="32"/>
          <w:highlight w:val="none"/>
          <w:u w:val="none"/>
          <w:lang w:val="en-US" w:eastAsia="zh-CN"/>
        </w:rPr>
        <w:t>暂存并</w:t>
      </w:r>
      <w:r>
        <w:rPr>
          <w:rFonts w:eastAsia="仿宋_GB2312"/>
          <w:bCs/>
          <w:color w:val="auto"/>
          <w:sz w:val="32"/>
          <w:szCs w:val="32"/>
        </w:rPr>
        <w:t>按照规定</w:t>
      </w:r>
      <w:r>
        <w:rPr>
          <w:rFonts w:hint="eastAsia" w:eastAsia="仿宋_GB2312"/>
          <w:bCs/>
          <w:color w:val="auto"/>
          <w:sz w:val="32"/>
          <w:szCs w:val="32"/>
          <w:lang w:eastAsia="zh-CN"/>
        </w:rPr>
        <w:t>建立台账，</w:t>
      </w:r>
      <w:r>
        <w:rPr>
          <w:rFonts w:eastAsia="仿宋_GB2312"/>
          <w:bCs/>
          <w:color w:val="auto"/>
          <w:sz w:val="32"/>
          <w:szCs w:val="32"/>
        </w:rPr>
        <w:t>设置危险废物识别标志</w:t>
      </w:r>
      <w:r>
        <w:rPr>
          <w:rFonts w:hint="eastAsia" w:eastAsia="仿宋_GB2312"/>
          <w:bCs/>
          <w:color w:val="auto"/>
          <w:sz w:val="32"/>
          <w:szCs w:val="32"/>
          <w:lang w:val="en-US" w:eastAsia="zh-CN"/>
        </w:rPr>
        <w:t>并严格按照</w:t>
      </w:r>
      <w:r>
        <w:rPr>
          <w:rFonts w:hint="eastAsia" w:eastAsia="仿宋_GB2312"/>
          <w:bCs/>
          <w:color w:val="auto"/>
          <w:sz w:val="32"/>
          <w:szCs w:val="32"/>
        </w:rPr>
        <w:t>《危险废物收集、贮存、运输技术规范》（HJ 2025-2012）中有关规定妥善贮存。</w:t>
      </w:r>
      <w:r>
        <w:rPr>
          <w:rFonts w:eastAsia="仿宋_GB2312"/>
          <w:bCs/>
          <w:color w:val="auto"/>
          <w:sz w:val="32"/>
          <w:szCs w:val="32"/>
        </w:rPr>
        <w:t>危险废物转移须严格落实《危险废物转移管理办法》（部令第23号）等相关要求</w:t>
      </w:r>
      <w:r>
        <w:rPr>
          <w:rFonts w:hint="eastAsia" w:eastAsia="仿宋_GB2312"/>
          <w:bCs/>
          <w:color w:val="auto"/>
          <w:sz w:val="32"/>
          <w:szCs w:val="32"/>
          <w:lang w:eastAsia="zh-CN"/>
        </w:rPr>
        <w:t>，执行危险废物转联单制度，定期委托有危险废物处理资质的单位合法处置铝灰，最长存储周期不超过12个月</w:t>
      </w:r>
      <w:r>
        <w:rPr>
          <w:rFonts w:eastAsia="仿宋_GB2312"/>
          <w:bCs/>
          <w:color w:val="auto"/>
          <w:sz w:val="32"/>
          <w:szCs w:val="32"/>
        </w:rPr>
        <w:t>。</w:t>
      </w:r>
    </w:p>
    <w:p w14:paraId="08671C25">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lang w:val="en-US" w:eastAsia="zh-CN"/>
        </w:rPr>
        <w:t>四、</w:t>
      </w:r>
      <w:r>
        <w:rPr>
          <w:rFonts w:hint="eastAsia" w:ascii="Times New Roman" w:hAnsi="Times New Roman" w:eastAsia="仿宋_GB2312" w:cs="Times New Roman"/>
          <w:color w:val="auto"/>
          <w:sz w:val="32"/>
          <w:szCs w:val="32"/>
          <w:highlight w:val="none"/>
          <w:u w:val="none"/>
          <w:lang w:val="en-US" w:eastAsia="zh-CN"/>
        </w:rPr>
        <w:t>修编并落实有效的环境风险防范措施和应急预案，建立健全环境事故应急体系，定期开展应急演练。加强运营期环境风险管理，定期开展环境风险隐患排查，发现问题及时采取有效措施消除事故隐患，确保环境安全。</w:t>
      </w:r>
      <w:r>
        <w:rPr>
          <w:rFonts w:hint="eastAsia" w:ascii="Times New Roman" w:hAnsi="Times New Roman" w:eastAsia="仿宋_GB2312" w:cs="Times New Roman"/>
          <w:color w:val="auto"/>
          <w:kern w:val="2"/>
          <w:sz w:val="32"/>
          <w:szCs w:val="32"/>
          <w:highlight w:val="none"/>
          <w:u w:val="none"/>
          <w:lang w:val="en-US" w:eastAsia="zh-CN" w:bidi="ar-SA"/>
        </w:rPr>
        <w:t>按照排污单位自行监测技术规范要求，定期开展环境监测。</w:t>
      </w:r>
    </w:p>
    <w:p w14:paraId="662692B7">
      <w:pPr>
        <w:spacing w:line="560" w:lineRule="exact"/>
        <w:ind w:firstLine="640" w:firstLineChars="200"/>
        <w:rPr>
          <w:rFonts w:eastAsia="仿宋_GB2312"/>
          <w:bCs/>
          <w:color w:val="auto"/>
          <w:sz w:val="32"/>
          <w:szCs w:val="32"/>
        </w:rPr>
      </w:pPr>
      <w:r>
        <w:rPr>
          <w:rFonts w:hint="eastAsia" w:eastAsia="仿宋_GB2312"/>
          <w:bCs/>
          <w:color w:val="auto"/>
          <w:sz w:val="32"/>
          <w:szCs w:val="32"/>
          <w:lang w:val="en-US" w:eastAsia="zh-CN"/>
        </w:rPr>
        <w:t>五</w:t>
      </w:r>
      <w:r>
        <w:rPr>
          <w:rFonts w:hint="eastAsia" w:eastAsia="仿宋_GB2312"/>
          <w:bCs/>
          <w:color w:val="auto"/>
          <w:sz w:val="32"/>
          <w:szCs w:val="32"/>
          <w:lang w:eastAsia="zh-CN"/>
        </w:rPr>
        <w:t>、</w:t>
      </w:r>
      <w:r>
        <w:rPr>
          <w:rFonts w:hint="eastAsia" w:ascii="Times New Roman" w:hAnsi="Times New Roman" w:eastAsia="仿宋_GB2312" w:cs="Times New Roman"/>
          <w:color w:val="auto"/>
          <w:kern w:val="2"/>
          <w:sz w:val="32"/>
          <w:szCs w:val="32"/>
          <w:highlight w:val="none"/>
          <w:u w:val="none"/>
          <w:lang w:val="en-US" w:eastAsia="zh-CN" w:bidi="ar-SA"/>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6BDFA47E">
      <w:pPr>
        <w:spacing w:line="560" w:lineRule="exact"/>
        <w:ind w:firstLine="640" w:firstLineChars="200"/>
        <w:rPr>
          <w:rFonts w:hint="eastAsia" w:ascii="Times New Roman" w:hAnsi="Times New Roman" w:eastAsia="仿宋_GB2312" w:cs="Times New Roman"/>
          <w:color w:val="auto"/>
          <w:kern w:val="2"/>
          <w:sz w:val="32"/>
          <w:szCs w:val="32"/>
          <w:highlight w:val="none"/>
          <w:u w:val="none"/>
          <w:lang w:val="en-US" w:eastAsia="zh-CN" w:bidi="ar-SA"/>
        </w:rPr>
      </w:pPr>
      <w:r>
        <w:rPr>
          <w:rFonts w:hint="eastAsia" w:eastAsia="仿宋_GB2312"/>
          <w:bCs/>
          <w:color w:val="auto"/>
          <w:sz w:val="32"/>
          <w:szCs w:val="32"/>
          <w:lang w:val="en-US" w:eastAsia="zh-CN"/>
        </w:rPr>
        <w:t>六</w:t>
      </w:r>
      <w:r>
        <w:rPr>
          <w:rFonts w:hint="eastAsia" w:eastAsia="仿宋_GB2312"/>
          <w:bCs/>
          <w:color w:val="auto"/>
          <w:sz w:val="32"/>
          <w:szCs w:val="32"/>
          <w:lang w:eastAsia="zh-CN"/>
        </w:rPr>
        <w:t>、</w:t>
      </w:r>
      <w:r>
        <w:rPr>
          <w:rFonts w:hint="eastAsia" w:ascii="Times New Roman" w:hAnsi="Times New Roman" w:eastAsia="仿宋_GB2312" w:cs="Times New Roman"/>
          <w:color w:val="auto"/>
          <w:kern w:val="2"/>
          <w:sz w:val="32"/>
          <w:szCs w:val="32"/>
          <w:highlight w:val="none"/>
          <w:u w:val="none"/>
          <w:lang w:val="en-US" w:eastAsia="zh-CN" w:bidi="ar-SA"/>
        </w:rPr>
        <w:t>环境影响报告经批准后，项目的性质、规模、地点、生产工艺和环境保护措施发生重大变动的，应当依法重新报批项目的环境影响报告按照经批准的环境影响评价文件认真梳理并确认各项环境保护措施落实后，依法</w:t>
      </w:r>
      <w:r>
        <w:rPr>
          <w:rFonts w:hint="eastAsia" w:eastAsia="仿宋_GB2312" w:cs="Times New Roman"/>
          <w:color w:val="auto"/>
          <w:kern w:val="2"/>
          <w:sz w:val="32"/>
          <w:szCs w:val="32"/>
          <w:highlight w:val="none"/>
          <w:u w:val="none"/>
          <w:lang w:val="en-US" w:eastAsia="zh-CN" w:bidi="ar-SA"/>
        </w:rPr>
        <w:t>变更</w:t>
      </w:r>
      <w:r>
        <w:rPr>
          <w:rFonts w:hint="eastAsia" w:ascii="Times New Roman" w:hAnsi="Times New Roman" w:eastAsia="仿宋_GB2312" w:cs="Times New Roman"/>
          <w:color w:val="auto"/>
          <w:kern w:val="2"/>
          <w:sz w:val="32"/>
          <w:szCs w:val="32"/>
          <w:highlight w:val="none"/>
          <w:u w:val="none"/>
          <w:lang w:val="en-US" w:eastAsia="zh-CN" w:bidi="ar-SA"/>
        </w:rPr>
        <w:t>排污许可证。</w:t>
      </w:r>
    </w:p>
    <w:p w14:paraId="42AC39BA">
      <w:pPr>
        <w:pStyle w:val="2"/>
        <w:rPr>
          <w:color w:val="auto"/>
        </w:rPr>
      </w:pPr>
    </w:p>
    <w:p w14:paraId="46D06BC8">
      <w:pPr>
        <w:pStyle w:val="5"/>
      </w:pPr>
    </w:p>
    <w:p w14:paraId="5A8D537F">
      <w:pPr>
        <w:pStyle w:val="5"/>
        <w:ind w:firstLine="210"/>
        <w:rPr>
          <w:rFonts w:hint="eastAsia"/>
          <w:color w:val="auto"/>
        </w:rPr>
      </w:pPr>
    </w:p>
    <w:p w14:paraId="74242698">
      <w:pPr>
        <w:pStyle w:val="3"/>
        <w:rPr>
          <w:rFonts w:hint="eastAsia"/>
          <w:color w:val="auto"/>
        </w:rPr>
      </w:pPr>
    </w:p>
    <w:p w14:paraId="1E9897E4">
      <w:pPr>
        <w:widowControl/>
        <w:adjustRightInd w:val="0"/>
        <w:snapToGrid w:val="0"/>
        <w:spacing w:line="560" w:lineRule="exact"/>
        <w:ind w:firstLine="2560" w:firstLineChars="800"/>
        <w:jc w:val="right"/>
        <w:rPr>
          <w:rFonts w:eastAsia="仿宋_GB2312"/>
          <w:color w:val="auto"/>
          <w:kern w:val="0"/>
          <w:sz w:val="32"/>
          <w:szCs w:val="32"/>
        </w:rPr>
      </w:pPr>
      <w:r>
        <w:rPr>
          <w:rFonts w:hint="eastAsia" w:eastAsia="仿宋_GB2312"/>
          <w:color w:val="auto"/>
          <w:kern w:val="0"/>
          <w:sz w:val="32"/>
          <w:szCs w:val="32"/>
        </w:rPr>
        <w:t>新疆</w:t>
      </w:r>
      <w:r>
        <w:rPr>
          <w:rFonts w:eastAsia="仿宋_GB2312"/>
          <w:color w:val="auto"/>
          <w:kern w:val="0"/>
          <w:sz w:val="32"/>
          <w:szCs w:val="32"/>
        </w:rPr>
        <w:t>准东经济技术开发区环境保护局</w:t>
      </w:r>
    </w:p>
    <w:p w14:paraId="01C58F5D">
      <w:pPr>
        <w:widowControl/>
        <w:wordWrap w:val="0"/>
        <w:adjustRightInd w:val="0"/>
        <w:snapToGrid w:val="0"/>
        <w:spacing w:line="560" w:lineRule="exact"/>
        <w:ind w:firstLine="4160" w:firstLineChars="1300"/>
        <w:jc w:val="right"/>
        <w:rPr>
          <w:rFonts w:hint="eastAsia" w:eastAsia="仿宋_GB2312"/>
          <w:color w:val="auto"/>
          <w:sz w:val="32"/>
          <w:szCs w:val="32"/>
        </w:rPr>
      </w:pPr>
      <w:r>
        <w:rPr>
          <w:rFonts w:eastAsia="仿宋_GB2312"/>
          <w:color w:val="auto"/>
          <w:kern w:val="0"/>
          <w:sz w:val="32"/>
          <w:szCs w:val="32"/>
        </w:rPr>
        <w:t>2024年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w:t>
      </w:r>
      <w:r>
        <w:rPr>
          <w:rFonts w:hint="eastAsia" w:eastAsia="仿宋_GB2312"/>
          <w:color w:val="auto"/>
          <w:kern w:val="0"/>
          <w:sz w:val="32"/>
          <w:szCs w:val="32"/>
        </w:rPr>
        <w:t xml:space="preserve">     </w:t>
      </w:r>
    </w:p>
    <w:p w14:paraId="7E28303A">
      <w:pPr>
        <w:pStyle w:val="20"/>
        <w:spacing w:line="560" w:lineRule="exact"/>
        <w:jc w:val="both"/>
        <w:rPr>
          <w:rFonts w:hint="eastAsia" w:eastAsia="仿宋_GB2312"/>
          <w:color w:val="auto"/>
          <w:sz w:val="32"/>
          <w:szCs w:val="32"/>
        </w:rPr>
      </w:pPr>
    </w:p>
    <w:p w14:paraId="7FDDCADB">
      <w:pPr>
        <w:pStyle w:val="20"/>
        <w:spacing w:line="560" w:lineRule="exact"/>
        <w:jc w:val="both"/>
        <w:rPr>
          <w:rFonts w:eastAsia="仿宋_GB2312"/>
          <w:color w:val="auto"/>
          <w:sz w:val="32"/>
          <w:szCs w:val="32"/>
        </w:rPr>
      </w:pPr>
      <w:r>
        <w:rPr>
          <w:rFonts w:hint="eastAsia" w:eastAsia="仿宋_GB2312"/>
          <w:color w:val="auto"/>
          <w:sz w:val="32"/>
          <w:szCs w:val="32"/>
        </w:rPr>
        <w:t>（此件社会公开）</w:t>
      </w:r>
    </w:p>
    <w:p w14:paraId="7E7BA022">
      <w:pPr>
        <w:pStyle w:val="20"/>
        <w:spacing w:line="560" w:lineRule="exact"/>
        <w:jc w:val="both"/>
        <w:rPr>
          <w:rFonts w:hint="eastAsia" w:eastAsia="仿宋_GB2312"/>
          <w:color w:val="auto"/>
          <w:sz w:val="32"/>
          <w:szCs w:val="32"/>
        </w:rPr>
      </w:pPr>
    </w:p>
    <w:p w14:paraId="137A2254">
      <w:pPr>
        <w:pStyle w:val="20"/>
        <w:spacing w:line="560" w:lineRule="exact"/>
        <w:jc w:val="both"/>
        <w:rPr>
          <w:rFonts w:hint="eastAsia" w:eastAsia="仿宋_GB2312"/>
          <w:color w:val="auto"/>
          <w:sz w:val="32"/>
          <w:szCs w:val="32"/>
        </w:rPr>
      </w:pPr>
    </w:p>
    <w:p w14:paraId="6FFEDC6C">
      <w:pPr>
        <w:pStyle w:val="20"/>
        <w:spacing w:line="560" w:lineRule="exact"/>
        <w:jc w:val="both"/>
        <w:rPr>
          <w:rFonts w:hint="eastAsia" w:eastAsia="仿宋_GB2312"/>
          <w:color w:val="auto"/>
          <w:sz w:val="32"/>
          <w:szCs w:val="32"/>
        </w:rPr>
      </w:pPr>
    </w:p>
    <w:p w14:paraId="148780BA">
      <w:pPr>
        <w:pStyle w:val="20"/>
        <w:spacing w:line="560" w:lineRule="exact"/>
        <w:jc w:val="both"/>
        <w:rPr>
          <w:rFonts w:hint="eastAsia" w:eastAsia="仿宋_GB2312"/>
          <w:color w:val="auto"/>
          <w:sz w:val="32"/>
          <w:szCs w:val="32"/>
        </w:rPr>
      </w:pPr>
    </w:p>
    <w:p w14:paraId="71ED02A1">
      <w:pPr>
        <w:pStyle w:val="20"/>
        <w:spacing w:line="560" w:lineRule="exact"/>
        <w:jc w:val="both"/>
        <w:rPr>
          <w:rFonts w:hint="eastAsia" w:eastAsia="仿宋_GB2312"/>
          <w:color w:val="auto"/>
          <w:sz w:val="32"/>
          <w:szCs w:val="32"/>
        </w:rPr>
      </w:pPr>
    </w:p>
    <w:p w14:paraId="45C5FC92">
      <w:pPr>
        <w:pStyle w:val="20"/>
        <w:spacing w:line="560" w:lineRule="exact"/>
        <w:jc w:val="both"/>
        <w:rPr>
          <w:rFonts w:hint="eastAsia" w:eastAsia="仿宋_GB2312"/>
          <w:color w:val="auto"/>
          <w:sz w:val="32"/>
          <w:szCs w:val="32"/>
        </w:rPr>
      </w:pPr>
    </w:p>
    <w:p w14:paraId="441DEC47">
      <w:pPr>
        <w:pStyle w:val="20"/>
        <w:spacing w:line="560" w:lineRule="exact"/>
        <w:jc w:val="both"/>
        <w:rPr>
          <w:rFonts w:hint="eastAsia" w:eastAsia="仿宋_GB2312"/>
          <w:color w:val="auto"/>
          <w:sz w:val="32"/>
          <w:szCs w:val="32"/>
        </w:rPr>
      </w:pPr>
    </w:p>
    <w:p w14:paraId="72CA34B6">
      <w:pPr>
        <w:pStyle w:val="20"/>
        <w:spacing w:line="560" w:lineRule="exact"/>
        <w:jc w:val="both"/>
        <w:rPr>
          <w:rFonts w:hint="eastAsia" w:eastAsia="仿宋_GB2312"/>
          <w:color w:val="auto"/>
          <w:sz w:val="32"/>
          <w:szCs w:val="32"/>
        </w:rPr>
      </w:pPr>
    </w:p>
    <w:p w14:paraId="57723CB3">
      <w:pPr>
        <w:pStyle w:val="20"/>
        <w:spacing w:line="560" w:lineRule="exact"/>
        <w:jc w:val="both"/>
        <w:rPr>
          <w:rFonts w:hint="eastAsia" w:eastAsia="仿宋_GB2312"/>
          <w:color w:val="auto"/>
          <w:sz w:val="32"/>
          <w:szCs w:val="32"/>
        </w:rPr>
      </w:pPr>
    </w:p>
    <w:p w14:paraId="42A20CBC">
      <w:pPr>
        <w:pStyle w:val="20"/>
        <w:spacing w:line="560" w:lineRule="exact"/>
        <w:jc w:val="both"/>
        <w:rPr>
          <w:rFonts w:hint="eastAsia" w:eastAsia="仿宋_GB2312"/>
          <w:color w:val="auto"/>
          <w:sz w:val="32"/>
          <w:szCs w:val="32"/>
        </w:rPr>
      </w:pPr>
    </w:p>
    <w:p w14:paraId="54EB70FD">
      <w:pPr>
        <w:spacing w:line="560" w:lineRule="exact"/>
        <w:ind w:firstLine="280" w:firstLineChars="100"/>
        <w:rPr>
          <w:rFonts w:eastAsia="仿宋_GB2312"/>
          <w:color w:val="auto"/>
          <w:sz w:val="28"/>
          <w:szCs w:val="28"/>
        </w:rPr>
      </w:pPr>
      <w:r>
        <w:rPr>
          <w:rFonts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color w:val="auto"/>
          <w:sz w:val="28"/>
          <w:szCs w:val="28"/>
        </w:rPr>
        <w:t>抄送：昌吉州生态环境保护综合行政执法支队准东大队、存档。</w:t>
      </w:r>
      <w:bookmarkStart w:id="2" w:name="_GoBack"/>
      <w:bookmarkEnd w:id="2"/>
    </w:p>
    <w:p w14:paraId="40C551B6">
      <w:pPr>
        <w:tabs>
          <w:tab w:val="left" w:pos="360"/>
        </w:tabs>
        <w:spacing w:line="560" w:lineRule="exact"/>
        <w:ind w:right="25" w:rightChars="12" w:firstLine="280" w:firstLineChars="100"/>
        <w:rPr>
          <w:rFonts w:eastAsia="仿宋_GB2312"/>
          <w:color w:val="auto"/>
          <w:sz w:val="28"/>
          <w:szCs w:val="28"/>
        </w:rPr>
      </w:pPr>
      <w:r>
        <w:rPr>
          <w:rFonts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color w:val="auto"/>
          <w:sz w:val="28"/>
          <w:szCs w:val="28"/>
        </w:rPr>
        <w:t>新疆准东经济技术开发区环境保护局  202</w:t>
      </w:r>
      <w:r>
        <w:rPr>
          <w:rFonts w:hint="eastAsia" w:eastAsia="仿宋_GB2312"/>
          <w:color w:val="auto"/>
          <w:sz w:val="28"/>
          <w:szCs w:val="28"/>
        </w:rPr>
        <w:t>4</w:t>
      </w:r>
      <w:r>
        <w:rPr>
          <w:rFonts w:eastAsia="仿宋_GB2312"/>
          <w:color w:val="auto"/>
          <w:sz w:val="28"/>
          <w:szCs w:val="28"/>
        </w:rPr>
        <w:t>年</w:t>
      </w:r>
      <w:r>
        <w:rPr>
          <w:rFonts w:hint="eastAsia" w:eastAsia="仿宋_GB2312"/>
          <w:color w:val="auto"/>
          <w:sz w:val="28"/>
          <w:szCs w:val="28"/>
          <w:lang w:val="en-US" w:eastAsia="zh-CN"/>
        </w:rPr>
        <w:t>12</w:t>
      </w:r>
      <w:r>
        <w:rPr>
          <w:rFonts w:eastAsia="仿宋_GB2312"/>
          <w:color w:val="auto"/>
          <w:sz w:val="28"/>
          <w:szCs w:val="28"/>
        </w:rPr>
        <w:t>月</w:t>
      </w:r>
      <w:r>
        <w:rPr>
          <w:rFonts w:hint="eastAsia" w:eastAsia="仿宋_GB2312"/>
          <w:color w:val="auto"/>
          <w:sz w:val="28"/>
          <w:szCs w:val="28"/>
          <w:lang w:val="en-US" w:eastAsia="zh-CN"/>
        </w:rPr>
        <w:t>31</w:t>
      </w:r>
      <w:r>
        <w:rPr>
          <w:rFonts w:eastAsia="仿宋_GB2312"/>
          <w:color w:val="auto"/>
          <w:sz w:val="28"/>
          <w:szCs w:val="28"/>
        </w:rPr>
        <w:t>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2B9B28BC-3BD9-4ADD-A227-67B18F8147A2}"/>
  </w:font>
  <w:font w:name="楷体_GB2312">
    <w:panose1 w:val="02010609030101010101"/>
    <w:charset w:val="86"/>
    <w:family w:val="auto"/>
    <w:pitch w:val="default"/>
    <w:sig w:usb0="00000001" w:usb1="080E0000" w:usb2="00000000" w:usb3="00000000" w:csb0="00040000" w:csb1="00000000"/>
    <w:embedRegular r:id="rId2" w:fontKey="{3180BDC1-FDEE-49FB-895C-809D17EEEBAD}"/>
  </w:font>
  <w:font w:name="方正小标宋简体">
    <w:panose1 w:val="03000509000000000000"/>
    <w:charset w:val="86"/>
    <w:family w:val="auto"/>
    <w:pitch w:val="default"/>
    <w:sig w:usb0="00000001" w:usb1="080E0000" w:usb2="00000000" w:usb3="00000000" w:csb0="00040000" w:csb1="00000000"/>
    <w:embedRegular r:id="rId3" w:fontKey="{6041CEBC-06F2-46FA-A90C-ACE25AF9F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2C2E">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EB3ED">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028EB3ED">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9F35"/>
    <w:multiLevelType w:val="singleLevel"/>
    <w:tmpl w:val="0D749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4851A8"/>
    <w:rsid w:val="00502752"/>
    <w:rsid w:val="0058316B"/>
    <w:rsid w:val="008353C6"/>
    <w:rsid w:val="008C6E7E"/>
    <w:rsid w:val="00902A12"/>
    <w:rsid w:val="0091007F"/>
    <w:rsid w:val="009568F7"/>
    <w:rsid w:val="00975D66"/>
    <w:rsid w:val="00AB1AE8"/>
    <w:rsid w:val="00AF559A"/>
    <w:rsid w:val="00AF5FD9"/>
    <w:rsid w:val="00C34DAD"/>
    <w:rsid w:val="00D90D86"/>
    <w:rsid w:val="00DB4CC2"/>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A07BF6"/>
    <w:rsid w:val="08244413"/>
    <w:rsid w:val="084F33CB"/>
    <w:rsid w:val="0854031A"/>
    <w:rsid w:val="08955281"/>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717748"/>
    <w:rsid w:val="0CB101B0"/>
    <w:rsid w:val="0CDB6FDB"/>
    <w:rsid w:val="0CE265BB"/>
    <w:rsid w:val="0D907DC5"/>
    <w:rsid w:val="0DF447F8"/>
    <w:rsid w:val="0E176739"/>
    <w:rsid w:val="0E7019A5"/>
    <w:rsid w:val="0F4874BA"/>
    <w:rsid w:val="0F644325"/>
    <w:rsid w:val="0F694D72"/>
    <w:rsid w:val="0FB25CBD"/>
    <w:rsid w:val="0FFA3C1C"/>
    <w:rsid w:val="1001144E"/>
    <w:rsid w:val="10401F77"/>
    <w:rsid w:val="10593038"/>
    <w:rsid w:val="105F5709"/>
    <w:rsid w:val="10961BD4"/>
    <w:rsid w:val="10BD35C7"/>
    <w:rsid w:val="12020A5C"/>
    <w:rsid w:val="12AF34C9"/>
    <w:rsid w:val="131C17D8"/>
    <w:rsid w:val="13390EFF"/>
    <w:rsid w:val="139525D9"/>
    <w:rsid w:val="13E40E6B"/>
    <w:rsid w:val="14184FB8"/>
    <w:rsid w:val="14641516"/>
    <w:rsid w:val="14691370"/>
    <w:rsid w:val="149F4D92"/>
    <w:rsid w:val="14E82BDD"/>
    <w:rsid w:val="150D619F"/>
    <w:rsid w:val="15695ACC"/>
    <w:rsid w:val="166E4636"/>
    <w:rsid w:val="16C3120C"/>
    <w:rsid w:val="16E318AE"/>
    <w:rsid w:val="16F30739"/>
    <w:rsid w:val="17755001"/>
    <w:rsid w:val="17793FC0"/>
    <w:rsid w:val="18297794"/>
    <w:rsid w:val="18AC5CCF"/>
    <w:rsid w:val="18CE20EA"/>
    <w:rsid w:val="191E6BCD"/>
    <w:rsid w:val="19241D0A"/>
    <w:rsid w:val="19462959"/>
    <w:rsid w:val="196440B8"/>
    <w:rsid w:val="199B6470"/>
    <w:rsid w:val="19E35721"/>
    <w:rsid w:val="19F811CC"/>
    <w:rsid w:val="1A1F0E4F"/>
    <w:rsid w:val="1A3F329F"/>
    <w:rsid w:val="1A5328A6"/>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383E35"/>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BD2FCF"/>
    <w:rsid w:val="31F76204"/>
    <w:rsid w:val="31FB3AF8"/>
    <w:rsid w:val="32A77294"/>
    <w:rsid w:val="33544E3C"/>
    <w:rsid w:val="33997124"/>
    <w:rsid w:val="33AA0F8A"/>
    <w:rsid w:val="33DF6B01"/>
    <w:rsid w:val="34846E35"/>
    <w:rsid w:val="348C26E8"/>
    <w:rsid w:val="349A316D"/>
    <w:rsid w:val="34BF2BBB"/>
    <w:rsid w:val="353C245D"/>
    <w:rsid w:val="35D94150"/>
    <w:rsid w:val="3600792F"/>
    <w:rsid w:val="36220C46"/>
    <w:rsid w:val="363E66A8"/>
    <w:rsid w:val="36681030"/>
    <w:rsid w:val="36845BEF"/>
    <w:rsid w:val="36963DEF"/>
    <w:rsid w:val="36DB3EF8"/>
    <w:rsid w:val="36F20889"/>
    <w:rsid w:val="36F62AE0"/>
    <w:rsid w:val="37166CDE"/>
    <w:rsid w:val="3725724B"/>
    <w:rsid w:val="37936580"/>
    <w:rsid w:val="37976071"/>
    <w:rsid w:val="37B02C8E"/>
    <w:rsid w:val="395F1248"/>
    <w:rsid w:val="39777F08"/>
    <w:rsid w:val="39875C71"/>
    <w:rsid w:val="39C128CD"/>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A66B99"/>
    <w:rsid w:val="3EAB0654"/>
    <w:rsid w:val="3EAF3CA0"/>
    <w:rsid w:val="3F7B1DD4"/>
    <w:rsid w:val="3F964D7F"/>
    <w:rsid w:val="3FB35A12"/>
    <w:rsid w:val="3FB5178A"/>
    <w:rsid w:val="3FD47EC6"/>
    <w:rsid w:val="40063D93"/>
    <w:rsid w:val="400B13AA"/>
    <w:rsid w:val="404A344A"/>
    <w:rsid w:val="40A8309D"/>
    <w:rsid w:val="40CF687B"/>
    <w:rsid w:val="41036525"/>
    <w:rsid w:val="412546ED"/>
    <w:rsid w:val="41764C0E"/>
    <w:rsid w:val="418130FC"/>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537D92"/>
    <w:rsid w:val="489108BA"/>
    <w:rsid w:val="48BA065B"/>
    <w:rsid w:val="48BC5DFA"/>
    <w:rsid w:val="48F13107"/>
    <w:rsid w:val="49155047"/>
    <w:rsid w:val="4924528A"/>
    <w:rsid w:val="49331971"/>
    <w:rsid w:val="49985520"/>
    <w:rsid w:val="49E35145"/>
    <w:rsid w:val="4A1D0657"/>
    <w:rsid w:val="4A2C2648"/>
    <w:rsid w:val="4A4F6337"/>
    <w:rsid w:val="4A895CED"/>
    <w:rsid w:val="4A9E529C"/>
    <w:rsid w:val="4AA743C5"/>
    <w:rsid w:val="4AF84C20"/>
    <w:rsid w:val="4B3247DA"/>
    <w:rsid w:val="4B3A0F5A"/>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ED6379E"/>
    <w:rsid w:val="4F0911AA"/>
    <w:rsid w:val="4F392B54"/>
    <w:rsid w:val="4F3E6080"/>
    <w:rsid w:val="4F723CD0"/>
    <w:rsid w:val="4FA018A4"/>
    <w:rsid w:val="510A745C"/>
    <w:rsid w:val="51D8107E"/>
    <w:rsid w:val="51DC0DF8"/>
    <w:rsid w:val="51DF4444"/>
    <w:rsid w:val="523E560F"/>
    <w:rsid w:val="52831274"/>
    <w:rsid w:val="52C06024"/>
    <w:rsid w:val="52ED0DE3"/>
    <w:rsid w:val="534E0C4C"/>
    <w:rsid w:val="53883FC8"/>
    <w:rsid w:val="53CB13A5"/>
    <w:rsid w:val="53D750AA"/>
    <w:rsid w:val="54D504F1"/>
    <w:rsid w:val="54E65AEA"/>
    <w:rsid w:val="55F34962"/>
    <w:rsid w:val="561A3C9D"/>
    <w:rsid w:val="569F4EAF"/>
    <w:rsid w:val="56AF0889"/>
    <w:rsid w:val="56B45E9F"/>
    <w:rsid w:val="56C37E91"/>
    <w:rsid w:val="572A7F10"/>
    <w:rsid w:val="57831D16"/>
    <w:rsid w:val="57903AA7"/>
    <w:rsid w:val="57DE6F4C"/>
    <w:rsid w:val="5855720E"/>
    <w:rsid w:val="587713C9"/>
    <w:rsid w:val="58B73A25"/>
    <w:rsid w:val="58DF25D2"/>
    <w:rsid w:val="59484FC5"/>
    <w:rsid w:val="599124C8"/>
    <w:rsid w:val="59D40607"/>
    <w:rsid w:val="59E943A1"/>
    <w:rsid w:val="59EA29D4"/>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1016AC"/>
    <w:rsid w:val="602D0A71"/>
    <w:rsid w:val="605B3830"/>
    <w:rsid w:val="606C3347"/>
    <w:rsid w:val="60966616"/>
    <w:rsid w:val="60B371C8"/>
    <w:rsid w:val="60ED547E"/>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15AE7"/>
    <w:rsid w:val="6C5F6456"/>
    <w:rsid w:val="6C94417C"/>
    <w:rsid w:val="6CC60283"/>
    <w:rsid w:val="6CDC7B2E"/>
    <w:rsid w:val="6CEB5F3B"/>
    <w:rsid w:val="6D0D5444"/>
    <w:rsid w:val="6D1E1E6D"/>
    <w:rsid w:val="6D6A3304"/>
    <w:rsid w:val="6DA2484C"/>
    <w:rsid w:val="6DEF3809"/>
    <w:rsid w:val="6E32666F"/>
    <w:rsid w:val="6E865F1C"/>
    <w:rsid w:val="6E9C573F"/>
    <w:rsid w:val="6EAA6DC4"/>
    <w:rsid w:val="6EED1AF7"/>
    <w:rsid w:val="6F086931"/>
    <w:rsid w:val="6F332352"/>
    <w:rsid w:val="6FBD596D"/>
    <w:rsid w:val="6FCF56A0"/>
    <w:rsid w:val="70144273"/>
    <w:rsid w:val="702A6D7B"/>
    <w:rsid w:val="705D0EFE"/>
    <w:rsid w:val="70812EB9"/>
    <w:rsid w:val="713559D7"/>
    <w:rsid w:val="713B3BEA"/>
    <w:rsid w:val="71AD7C63"/>
    <w:rsid w:val="7230479C"/>
    <w:rsid w:val="7249173A"/>
    <w:rsid w:val="72513C29"/>
    <w:rsid w:val="72C74D55"/>
    <w:rsid w:val="72D500BF"/>
    <w:rsid w:val="72EE0533"/>
    <w:rsid w:val="731E2BC7"/>
    <w:rsid w:val="732E26DE"/>
    <w:rsid w:val="7370719A"/>
    <w:rsid w:val="737547B1"/>
    <w:rsid w:val="73816CB2"/>
    <w:rsid w:val="744101B6"/>
    <w:rsid w:val="746A71D1"/>
    <w:rsid w:val="7487479C"/>
    <w:rsid w:val="74902589"/>
    <w:rsid w:val="74D06143"/>
    <w:rsid w:val="750E6D6A"/>
    <w:rsid w:val="75BC33E0"/>
    <w:rsid w:val="75EF084A"/>
    <w:rsid w:val="763B583E"/>
    <w:rsid w:val="76796366"/>
    <w:rsid w:val="76B86E8E"/>
    <w:rsid w:val="76BA382D"/>
    <w:rsid w:val="777A05E8"/>
    <w:rsid w:val="78214ECC"/>
    <w:rsid w:val="788D60F9"/>
    <w:rsid w:val="78EA52F9"/>
    <w:rsid w:val="79132AA2"/>
    <w:rsid w:val="792627D5"/>
    <w:rsid w:val="79267BF9"/>
    <w:rsid w:val="79481A86"/>
    <w:rsid w:val="79B7342D"/>
    <w:rsid w:val="79D27CD3"/>
    <w:rsid w:val="7A06218B"/>
    <w:rsid w:val="7A450370"/>
    <w:rsid w:val="7A942E7D"/>
    <w:rsid w:val="7AB7745D"/>
    <w:rsid w:val="7AE31DA6"/>
    <w:rsid w:val="7BD41879"/>
    <w:rsid w:val="7BEB5610"/>
    <w:rsid w:val="7BFA5853"/>
    <w:rsid w:val="7C09018C"/>
    <w:rsid w:val="7C3F24B9"/>
    <w:rsid w:val="7CF14EA8"/>
    <w:rsid w:val="7D256900"/>
    <w:rsid w:val="7DA57A41"/>
    <w:rsid w:val="7E136ADE"/>
    <w:rsid w:val="7E2B43EA"/>
    <w:rsid w:val="7E372D8F"/>
    <w:rsid w:val="7E391A48"/>
    <w:rsid w:val="7E5C45A3"/>
    <w:rsid w:val="7E7A2E51"/>
    <w:rsid w:val="7EC11336"/>
    <w:rsid w:val="7EE2719E"/>
    <w:rsid w:val="7EEA7E01"/>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3"/>
    <w:basedOn w:val="1"/>
    <w:next w:val="9"/>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5">
    <w:name w:val="Body Text First Indent"/>
    <w:basedOn w:val="6"/>
    <w:next w:val="3"/>
    <w:qFormat/>
    <w:uiPriority w:val="0"/>
    <w:pPr>
      <w:ind w:firstLine="420" w:firstLineChars="100"/>
    </w:pPr>
  </w:style>
  <w:style w:type="paragraph" w:styleId="6">
    <w:name w:val="Body Text"/>
    <w:basedOn w:val="1"/>
    <w:next w:val="7"/>
    <w:qFormat/>
    <w:uiPriority w:val="1"/>
    <w:rPr>
      <w:rFonts w:ascii="宋体" w:hAnsi="宋体"/>
      <w:szCs w:val="24"/>
    </w:rPr>
  </w:style>
  <w:style w:type="paragraph" w:styleId="7">
    <w:name w:val="Body Text 2"/>
    <w:basedOn w:val="1"/>
    <w:qFormat/>
    <w:uiPriority w:val="0"/>
    <w:pPr>
      <w:spacing w:after="120" w:line="480" w:lineRule="auto"/>
    </w:pPr>
    <w:rPr>
      <w:rFonts w:eastAsia="仿宋_GB2312"/>
    </w:rPr>
  </w:style>
  <w:style w:type="paragraph" w:styleId="9">
    <w:name w:val="Normal Indent"/>
    <w:basedOn w:val="1"/>
    <w:next w:val="4"/>
    <w:qFormat/>
    <w:uiPriority w:val="0"/>
    <w:pPr>
      <w:ind w:firstLine="602"/>
    </w:pPr>
    <w:rPr>
      <w:rFonts w:eastAsia="仿宋_GB2312"/>
      <w:sz w:val="28"/>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6">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character" w:customStyle="1" w:styleId="17">
    <w:name w:val="标题 3 字符"/>
    <w:basedOn w:val="15"/>
    <w:link w:val="8"/>
    <w:semiHidden/>
    <w:qFormat/>
    <w:uiPriority w:val="9"/>
    <w:rPr>
      <w:rFonts w:ascii="Times New Roman" w:hAnsi="Times New Roman" w:eastAsia="宋体" w:cs="Times New Roman"/>
      <w:b/>
      <w:bCs/>
      <w:sz w:val="32"/>
      <w:szCs w:val="32"/>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paragraph" w:customStyle="1" w:styleId="20">
    <w:name w:val="表格内"/>
    <w:basedOn w:val="1"/>
    <w:qFormat/>
    <w:uiPriority w:val="0"/>
    <w:pPr>
      <w:spacing w:line="360" w:lineRule="exact"/>
      <w:jc w:val="center"/>
    </w:pPr>
    <w:rPr>
      <w:snapToGrid w:val="0"/>
      <w:szCs w:val="21"/>
    </w:rPr>
  </w:style>
  <w:style w:type="paragraph" w:customStyle="1" w:styleId="21">
    <w:name w:val="B正文左对齐"/>
    <w:basedOn w:val="1"/>
    <w:qFormat/>
    <w:uiPriority w:val="0"/>
    <w:pPr>
      <w:spacing w:line="360" w:lineRule="auto"/>
      <w:ind w:firstLine="200" w:firstLineChars="200"/>
      <w:jc w:val="left"/>
    </w:pPr>
    <w:rPr>
      <w:color w:val="000000"/>
      <w:sz w:val="24"/>
      <w:szCs w:val="21"/>
      <w:lang w:val="en-GB"/>
    </w:rPr>
  </w:style>
  <w:style w:type="character" w:customStyle="1" w:styleId="22">
    <w:name w:val="批注框文本 字符"/>
    <w:basedOn w:val="15"/>
    <w:link w:val="10"/>
    <w:semiHidden/>
    <w:qFormat/>
    <w:uiPriority w:val="99"/>
    <w:rPr>
      <w:kern w:val="2"/>
      <w:sz w:val="18"/>
      <w:szCs w:val="18"/>
    </w:rPr>
  </w:style>
  <w:style w:type="paragraph" w:customStyle="1" w:styleId="23">
    <w:name w:val="Default"/>
    <w:basedOn w:val="24"/>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4">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1677</Words>
  <Characters>1757</Characters>
  <Lines>19</Lines>
  <Paragraphs>5</Paragraphs>
  <TotalTime>23</TotalTime>
  <ScaleCrop>false</ScaleCrop>
  <LinksUpToDate>false</LinksUpToDate>
  <CharactersWithSpaces>1765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cp:lastPrinted>2024-12-10T11:12:00Z</cp:lastPrinted>
  <dcterms:modified xsi:type="dcterms:W3CDTF">2024-12-31T03:09:41Z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C4A096D6E1584B53A47C56A4FB379ED5_13</vt:lpwstr>
  </property>
  <property fmtid="{D5CDD505-2E9C-101B-9397-08002B2CF9AE}" pid="4" name="KSOTemplateDocerSaveRecord">
    <vt:lpwstr>eyJoZGlkIjoiN2YzNjBkOTgyNWQ1YTMxYzM3MzMwNWFiODNmOWIzYWMiLCJ1c2VySWQiOiIyNjk4OTE0NzIifQ==</vt:lpwstr>
  </property>
</Properties>
</file>