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 w:bidi="ar-SA"/>
        </w:rPr>
        <w:t>准东开发区</w:t>
      </w:r>
      <w:r>
        <w:rPr>
          <w:rFonts w:hint="default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 w:bidi="ar-SA"/>
        </w:rPr>
        <w:t>人才工作室领衔人政治审查报告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根据《关于做好第三批开发区级人才工作室建设的通知》（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新准组发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〕×号）文件精神，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联合纪检、公安、法院等部门对申报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××××××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人才工作室领衔人进行审查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就有关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一、××××××高层次人才工作室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领衔人×××，男，×族，××年××月出生，中共党员，××学历，现任××单位××主任。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该同志能够牢固树立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四个意识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“四个自信”，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做到“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个维护”，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能够坚决落实党中央治疆方略和新疆工作总目标，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坚决维护祖国统一、社会稳定和民族团结，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在思想上、行动上与党中央、自治区、自治州党委保持高度一致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思想不动摇、态度不暧昧，能够严守反分裂斗争纪律，坚决反对民族分裂，能够遵纪守法，具有良好的职业道德和社会公德。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经综合审查，×××同志无违法违纪行为记录，未被纳入失信人员名单，符合申报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开发区级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人才工作室领衔人推荐标准，同意推荐。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二、××××××技能大师工作室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领衔人×××，男，×族，××年××月出生，××学历，现任××公司首席技师。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够坚决拥护中国共产党领导，在事关道路、制度、旗帜、方向等根本问题上的立场不含糊、原则不动摇。有较强的社会责任感和历史使命感，以产业报国和履行社会责任为己任，在推动民族振兴、国家强盛的中国梦中实现自我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经综合审查，×××无违法违纪行为记录，未被纳入失信人员名单，符合申报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开发区级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人才工作室领衔人推荐标准，同意推荐。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C08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州教育局</cp:lastModifiedBy>
  <dcterms:modified xsi:type="dcterms:W3CDTF">2024-04-10T08:50:55Z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