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lang w:val="en-US" w:eastAsia="zh-CN"/>
        </w:rPr>
        <w:t xml:space="preserve">                        </w:t>
      </w:r>
    </w:p>
    <w:p>
      <w:pPr>
        <w:rPr>
          <w:rFonts w:hint="eastAsia"/>
          <w:lang w:val="en-US" w:eastAsia="zh-CN"/>
        </w:rPr>
      </w:pPr>
    </w:p>
    <w:p>
      <w:pPr>
        <w:ind w:firstLine="2200" w:firstLineChars="500"/>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企业环境信息依法披露</w:t>
      </w:r>
    </w:p>
    <w:p>
      <w:pPr>
        <w:ind w:firstLine="3080" w:firstLineChars="700"/>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2022年度报告</w:t>
      </w:r>
    </w:p>
    <w:p>
      <w:pPr>
        <w:rPr>
          <w:rFonts w:hint="eastAsia" w:ascii="宋体" w:hAnsi="宋体" w:eastAsia="宋体" w:cs="宋体"/>
          <w:sz w:val="36"/>
          <w:szCs w:val="36"/>
          <w:lang w:val="en-US" w:eastAsia="zh-CN"/>
        </w:rPr>
      </w:pPr>
    </w:p>
    <w:p>
      <w:pPr>
        <w:rPr>
          <w:rFonts w:hint="eastAsia" w:ascii="宋体" w:hAnsi="宋体" w:eastAsia="宋体" w:cs="宋体"/>
          <w:sz w:val="36"/>
          <w:szCs w:val="36"/>
          <w:lang w:val="en-US" w:eastAsia="zh-CN"/>
        </w:rPr>
      </w:pPr>
    </w:p>
    <w:p>
      <w:pPr>
        <w:rPr>
          <w:rFonts w:hint="eastAsia" w:ascii="宋体" w:hAnsi="宋体" w:eastAsia="宋体" w:cs="宋体"/>
          <w:sz w:val="36"/>
          <w:szCs w:val="36"/>
          <w:lang w:val="en-US" w:eastAsia="zh-CN"/>
        </w:rPr>
      </w:pPr>
    </w:p>
    <w:p>
      <w:pPr>
        <w:rPr>
          <w:rFonts w:hint="eastAsia" w:ascii="宋体" w:hAnsi="宋体" w:eastAsia="宋体" w:cs="宋体"/>
          <w:sz w:val="36"/>
          <w:szCs w:val="36"/>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ind w:firstLine="960" w:firstLineChars="300"/>
        <w:rPr>
          <w:rFonts w:hint="eastAsia" w:ascii="宋体" w:hAnsi="宋体" w:eastAsia="宋体" w:cs="宋体"/>
          <w:sz w:val="36"/>
          <w:szCs w:val="36"/>
          <w:lang w:val="en-US" w:eastAsia="zh-CN"/>
        </w:rPr>
      </w:pPr>
      <w:r>
        <w:rPr>
          <w:rFonts w:hint="eastAsia" w:ascii="宋体" w:hAnsi="宋体" w:eastAsia="宋体" w:cs="宋体"/>
          <w:sz w:val="32"/>
          <w:szCs w:val="32"/>
          <w:lang w:val="en-US" w:eastAsia="zh-CN"/>
        </w:rPr>
        <w:t>企业名称</w:t>
      </w:r>
      <w:r>
        <w:rPr>
          <w:rFonts w:hint="eastAsia" w:ascii="宋体" w:hAnsi="宋体" w:eastAsia="宋体" w:cs="宋体"/>
          <w:sz w:val="36"/>
          <w:szCs w:val="36"/>
          <w:lang w:val="en-US" w:eastAsia="zh-CN"/>
        </w:rPr>
        <w:t>：昌吉吉盛新型建材有限公司</w:t>
      </w:r>
    </w:p>
    <w:p>
      <w:pPr>
        <w:ind w:firstLine="960" w:firstLineChars="300"/>
        <w:rPr>
          <w:rFonts w:hint="eastAsia" w:ascii="宋体" w:hAnsi="宋体" w:eastAsia="宋体" w:cs="宋体"/>
          <w:sz w:val="32"/>
          <w:szCs w:val="32"/>
          <w:lang w:val="en-US" w:eastAsia="zh-CN"/>
        </w:rPr>
      </w:pPr>
    </w:p>
    <w:p>
      <w:pPr>
        <w:ind w:firstLine="960" w:firstLineChars="300"/>
        <w:rPr>
          <w:rFonts w:hint="default" w:ascii="宋体" w:hAnsi="宋体" w:eastAsia="宋体" w:cs="宋体"/>
          <w:sz w:val="36"/>
          <w:szCs w:val="36"/>
          <w:lang w:val="en-US" w:eastAsia="zh-CN"/>
        </w:rPr>
      </w:pPr>
      <w:r>
        <w:rPr>
          <w:rFonts w:hint="eastAsia" w:ascii="宋体" w:hAnsi="宋体" w:eastAsia="宋体" w:cs="宋体"/>
          <w:sz w:val="32"/>
          <w:szCs w:val="32"/>
          <w:lang w:val="en-US" w:eastAsia="zh-CN"/>
        </w:rPr>
        <w:t>统一社会信用代码</w:t>
      </w:r>
      <w:r>
        <w:rPr>
          <w:rFonts w:hint="eastAsia" w:ascii="宋体" w:hAnsi="宋体" w:eastAsia="宋体" w:cs="宋体"/>
          <w:sz w:val="36"/>
          <w:szCs w:val="36"/>
          <w:lang w:val="en-US" w:eastAsia="zh-CN"/>
        </w:rPr>
        <w:t>：91652327085385930C</w:t>
      </w:r>
    </w:p>
    <w:p>
      <w:pPr>
        <w:ind w:firstLine="960" w:firstLineChars="300"/>
        <w:rPr>
          <w:rFonts w:hint="eastAsia" w:ascii="宋体" w:hAnsi="宋体" w:eastAsia="宋体" w:cs="宋体"/>
          <w:sz w:val="32"/>
          <w:szCs w:val="32"/>
          <w:lang w:val="en-US" w:eastAsia="zh-CN"/>
        </w:rPr>
      </w:pPr>
    </w:p>
    <w:p>
      <w:pPr>
        <w:ind w:firstLine="960" w:firstLineChars="300"/>
        <w:rPr>
          <w:rFonts w:hint="default" w:ascii="宋体" w:hAnsi="宋体" w:eastAsia="宋体" w:cs="宋体"/>
          <w:sz w:val="36"/>
          <w:szCs w:val="36"/>
          <w:lang w:val="en-US" w:eastAsia="zh-CN"/>
        </w:rPr>
      </w:pPr>
      <w:r>
        <w:rPr>
          <w:rFonts w:hint="eastAsia" w:ascii="宋体" w:hAnsi="宋体" w:eastAsia="宋体" w:cs="宋体"/>
          <w:sz w:val="32"/>
          <w:szCs w:val="32"/>
          <w:lang w:val="en-US" w:eastAsia="zh-CN"/>
        </w:rPr>
        <w:t>编制日期</w:t>
      </w:r>
      <w:r>
        <w:rPr>
          <w:rFonts w:hint="eastAsia" w:ascii="宋体" w:hAnsi="宋体" w:eastAsia="宋体" w:cs="宋体"/>
          <w:sz w:val="36"/>
          <w:szCs w:val="36"/>
          <w:lang w:val="en-US" w:eastAsia="zh-CN"/>
        </w:rPr>
        <w:t>：2022年12月14日</w:t>
      </w:r>
    </w:p>
    <w:p>
      <w:pPr>
        <w:ind w:firstLine="1080" w:firstLineChars="300"/>
        <w:rPr>
          <w:rFonts w:hint="eastAsia" w:ascii="宋体" w:hAnsi="宋体" w:eastAsia="宋体" w:cs="宋体"/>
          <w:sz w:val="36"/>
          <w:szCs w:val="36"/>
          <w:lang w:val="en-US" w:eastAsia="zh-CN"/>
        </w:rPr>
      </w:pPr>
    </w:p>
    <w:p>
      <w:pPr>
        <w:ind w:firstLine="1080" w:firstLineChars="300"/>
        <w:rPr>
          <w:rFonts w:hint="eastAsia" w:ascii="宋体" w:hAnsi="宋体" w:eastAsia="宋体" w:cs="宋体"/>
          <w:sz w:val="36"/>
          <w:szCs w:val="36"/>
          <w:lang w:val="en-US" w:eastAsia="zh-CN"/>
        </w:rPr>
      </w:pPr>
    </w:p>
    <w:p>
      <w:pPr>
        <w:ind w:firstLine="1080" w:firstLineChars="300"/>
        <w:rPr>
          <w:rFonts w:hint="eastAsia" w:ascii="宋体" w:hAnsi="宋体" w:eastAsia="宋体" w:cs="宋体"/>
          <w:sz w:val="36"/>
          <w:szCs w:val="36"/>
          <w:lang w:val="en-US" w:eastAsia="zh-CN"/>
        </w:rPr>
      </w:pPr>
    </w:p>
    <w:p>
      <w:pPr>
        <w:ind w:firstLine="1080" w:firstLineChars="300"/>
        <w:rPr>
          <w:rFonts w:hint="eastAsia" w:ascii="宋体" w:hAnsi="宋体" w:eastAsia="宋体" w:cs="宋体"/>
          <w:sz w:val="36"/>
          <w:szCs w:val="36"/>
          <w:lang w:val="en-US" w:eastAsia="zh-CN"/>
        </w:rPr>
      </w:pPr>
    </w:p>
    <w:p>
      <w:pPr>
        <w:ind w:firstLine="1080" w:firstLineChars="300"/>
        <w:rPr>
          <w:rFonts w:hint="eastAsia" w:ascii="宋体" w:hAnsi="宋体" w:eastAsia="宋体" w:cs="宋体"/>
          <w:sz w:val="36"/>
          <w:szCs w:val="36"/>
          <w:lang w:val="en-US" w:eastAsia="zh-CN"/>
        </w:rPr>
      </w:pPr>
    </w:p>
    <w:p>
      <w:pPr>
        <w:ind w:firstLine="1080" w:firstLineChars="300"/>
        <w:rPr>
          <w:rFonts w:hint="eastAsia" w:ascii="宋体" w:hAnsi="宋体" w:eastAsia="宋体" w:cs="宋体"/>
          <w:sz w:val="36"/>
          <w:szCs w:val="36"/>
          <w:lang w:val="en-US" w:eastAsia="zh-CN"/>
        </w:rPr>
      </w:pPr>
    </w:p>
    <w:p>
      <w:pPr>
        <w:ind w:firstLine="1080" w:firstLineChars="300"/>
        <w:rPr>
          <w:rFonts w:hint="eastAsia" w:ascii="宋体" w:hAnsi="宋体" w:eastAsia="宋体" w:cs="宋体"/>
          <w:sz w:val="36"/>
          <w:szCs w:val="36"/>
          <w:lang w:val="en-US" w:eastAsia="zh-CN"/>
        </w:rPr>
      </w:pPr>
    </w:p>
    <w:p>
      <w:pPr>
        <w:ind w:firstLine="1080" w:firstLineChars="300"/>
        <w:rPr>
          <w:rFonts w:hint="eastAsia" w:ascii="宋体" w:hAnsi="宋体" w:eastAsia="宋体" w:cs="宋体"/>
          <w:sz w:val="36"/>
          <w:szCs w:val="36"/>
          <w:lang w:val="en-US" w:eastAsia="zh-CN"/>
        </w:rPr>
      </w:pPr>
    </w:p>
    <w:p>
      <w:pPr>
        <w:ind w:firstLine="1080" w:firstLineChars="300"/>
        <w:rPr>
          <w:rFonts w:hint="eastAsia" w:ascii="宋体" w:hAnsi="宋体" w:eastAsia="宋体" w:cs="宋体"/>
          <w:sz w:val="36"/>
          <w:szCs w:val="36"/>
          <w:lang w:val="en-US" w:eastAsia="zh-CN"/>
        </w:rPr>
      </w:pPr>
      <w:bookmarkStart w:id="0" w:name="_GoBack"/>
      <w:r>
        <w:rPr>
          <w:rFonts w:hint="eastAsia" w:ascii="宋体" w:hAnsi="宋体" w:eastAsia="宋体" w:cs="宋体"/>
          <w:sz w:val="36"/>
          <w:szCs w:val="36"/>
          <w:lang w:val="en-US" w:eastAsia="zh-CN"/>
        </w:rPr>
        <w:drawing>
          <wp:anchor distT="0" distB="0" distL="114300" distR="114300" simplePos="0" relativeHeight="251659264" behindDoc="1" locked="0" layoutInCell="1" allowOverlap="1">
            <wp:simplePos x="0" y="0"/>
            <wp:positionH relativeFrom="column">
              <wp:posOffset>75565</wp:posOffset>
            </wp:positionH>
            <wp:positionV relativeFrom="paragraph">
              <wp:posOffset>-15240</wp:posOffset>
            </wp:positionV>
            <wp:extent cx="5266690" cy="6666230"/>
            <wp:effectExtent l="0" t="0" r="10160" b="0"/>
            <wp:wrapTight wrapText="bothSides">
              <wp:wrapPolygon>
                <wp:start x="0" y="0"/>
                <wp:lineTo x="0" y="21542"/>
                <wp:lineTo x="21485" y="21542"/>
                <wp:lineTo x="21485" y="0"/>
                <wp:lineTo x="0" y="0"/>
              </wp:wrapPolygon>
            </wp:wrapTight>
            <wp:docPr id="1" name="图片 1" descr="IMG_20221219_13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21219_130031"/>
                    <pic:cNvPicPr>
                      <a:picLocks noChangeAspect="1"/>
                    </pic:cNvPicPr>
                  </pic:nvPicPr>
                  <pic:blipFill>
                    <a:blip r:embed="rId4"/>
                    <a:stretch>
                      <a:fillRect/>
                    </a:stretch>
                  </pic:blipFill>
                  <pic:spPr>
                    <a:xfrm>
                      <a:off x="0" y="0"/>
                      <a:ext cx="5266690" cy="6666230"/>
                    </a:xfrm>
                    <a:prstGeom prst="rect">
                      <a:avLst/>
                    </a:prstGeom>
                  </pic:spPr>
                </pic:pic>
              </a:graphicData>
            </a:graphic>
          </wp:anchor>
        </w:drawing>
      </w:r>
      <w:bookmarkEnd w:id="0"/>
    </w:p>
    <w:p>
      <w:pPr>
        <w:ind w:firstLine="1080" w:firstLineChars="300"/>
        <w:rPr>
          <w:rFonts w:hint="eastAsia" w:ascii="宋体" w:hAnsi="宋体" w:eastAsia="宋体" w:cs="宋体"/>
          <w:sz w:val="36"/>
          <w:szCs w:val="36"/>
          <w:lang w:val="en-US" w:eastAsia="zh-CN"/>
        </w:rPr>
      </w:pPr>
    </w:p>
    <w:p>
      <w:pPr>
        <w:ind w:firstLine="1080" w:firstLineChars="300"/>
        <w:rPr>
          <w:rFonts w:hint="eastAsia" w:ascii="宋体" w:hAnsi="宋体" w:eastAsia="宋体" w:cs="宋体"/>
          <w:sz w:val="36"/>
          <w:szCs w:val="36"/>
          <w:lang w:val="en-US" w:eastAsia="zh-CN"/>
        </w:rPr>
      </w:pPr>
    </w:p>
    <w:p>
      <w:pPr>
        <w:ind w:firstLine="1080" w:firstLineChars="300"/>
        <w:rPr>
          <w:rFonts w:hint="eastAsia" w:ascii="宋体" w:hAnsi="宋体" w:eastAsia="宋体" w:cs="宋体"/>
          <w:sz w:val="36"/>
          <w:szCs w:val="36"/>
          <w:lang w:val="en-US" w:eastAsia="zh-CN"/>
        </w:rPr>
      </w:pPr>
    </w:p>
    <w:p>
      <w:pPr>
        <w:rPr>
          <w:rFonts w:hint="eastAsia" w:ascii="宋体" w:hAnsi="宋体" w:eastAsia="宋体" w:cs="宋体"/>
          <w:sz w:val="36"/>
          <w:szCs w:val="36"/>
          <w:lang w:val="en-US" w:eastAsia="zh-CN"/>
        </w:rPr>
      </w:pPr>
    </w:p>
    <w:p>
      <w:pPr>
        <w:rPr>
          <w:rFonts w:hint="eastAsia" w:ascii="宋体" w:hAnsi="宋体" w:eastAsia="宋体" w:cs="宋体"/>
          <w:sz w:val="36"/>
          <w:szCs w:val="36"/>
          <w:lang w:val="en-US" w:eastAsia="zh-CN"/>
        </w:rPr>
      </w:pPr>
    </w:p>
    <w:p>
      <w:pPr>
        <w:ind w:firstLine="2209" w:firstLineChars="500"/>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关键环境信息摘要</w:t>
      </w:r>
    </w:p>
    <w:p>
      <w:pPr>
        <w:rPr>
          <w:rFonts w:hint="eastAsia" w:ascii="宋体" w:hAnsi="宋体" w:eastAsia="宋体" w:cs="宋体"/>
          <w:sz w:val="36"/>
          <w:szCs w:val="36"/>
          <w:lang w:val="en-US" w:eastAsia="zh-CN"/>
        </w:rPr>
      </w:pPr>
      <w:r>
        <w:rPr>
          <w:rFonts w:hint="eastAsia" w:ascii="黑体" w:hAnsi="黑体" w:eastAsia="黑体" w:cs="黑体"/>
          <w:sz w:val="32"/>
          <w:szCs w:val="32"/>
          <w:lang w:val="en-US" w:eastAsia="zh-CN"/>
        </w:rPr>
        <w:t>一、企业遵守生态环境法律法规情况</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公司在生产经营过程中严格遵守《中华人民共和国环境保护法》、《中华人民共和国环境影响评价法》、《中华人民共和国大气污染防治法》、《中华人民共和国水污染防治法》、《中华人民共和国固体废物污染环境防治法》、《中华人民共和国噪声污染防治法》、《建设项目环境保护管理条例》、《排污许可管理条例》、《企业环境信息依法披露管理办法》、《企事业单位环境信息公开办法》。</w:t>
      </w:r>
    </w:p>
    <w:p>
      <w:pPr>
        <w:numPr>
          <w:ilvl w:val="0"/>
          <w:numId w:val="1"/>
        </w:numPr>
        <w:rPr>
          <w:rFonts w:hint="eastAsia" w:ascii="宋体" w:hAnsi="宋体" w:eastAsia="宋体" w:cs="宋体"/>
          <w:sz w:val="36"/>
          <w:szCs w:val="36"/>
          <w:lang w:val="en-US" w:eastAsia="zh-CN"/>
        </w:rPr>
      </w:pPr>
      <w:r>
        <w:rPr>
          <w:rFonts w:hint="eastAsia" w:ascii="黑体" w:hAnsi="黑体" w:eastAsia="黑体" w:cs="黑体"/>
          <w:sz w:val="32"/>
          <w:szCs w:val="32"/>
          <w:lang w:val="en-US" w:eastAsia="zh-CN"/>
        </w:rPr>
        <w:t>生态环境行政许可变更情况</w:t>
      </w:r>
    </w:p>
    <w:p>
      <w:pPr>
        <w:numPr>
          <w:ilvl w:val="0"/>
          <w:numId w:val="0"/>
        </w:num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昌吉吉盛新型建材有限公司一期10万吨工业硅项目2015年12月15日取得环评批复文件，2017年11月26日通过环保竣工验收手续；二期12万吨工业硅项目2017年12月27日取得新疆环保厅新环函（2017）2127号环评批复文件。</w:t>
      </w:r>
    </w:p>
    <w:p>
      <w:pPr>
        <w:numPr>
          <w:ilvl w:val="0"/>
          <w:numId w:val="1"/>
        </w:numPr>
        <w:ind w:left="0" w:leftChars="0" w:firstLine="0" w:firstLineChars="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污染物排放情况</w:t>
      </w:r>
    </w:p>
    <w:p>
      <w:pPr>
        <w:numPr>
          <w:ilvl w:val="0"/>
          <w:numId w:val="0"/>
        </w:numPr>
        <w:ind w:leftChars="0"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本公司主要污染物是硅冶炼过程中的冶炼烟气为颗粒物、二氧化硫、氮氧化物，全年排放总量为：颗粒物为701.6吨，二氧化硫1148.3吨，氮氧化物2380.6吨；工业固废产生量为124553吨，危险废物124.23吨。</w:t>
      </w:r>
    </w:p>
    <w:p>
      <w:pPr>
        <w:numPr>
          <w:ilvl w:val="0"/>
          <w:numId w:val="0"/>
        </w:numPr>
        <w:ind w:leftChars="0"/>
        <w:rPr>
          <w:rFonts w:hint="eastAsia" w:ascii="黑体" w:hAnsi="黑体" w:eastAsia="黑体" w:cs="黑体"/>
          <w:b w:val="0"/>
          <w:bCs w:val="0"/>
          <w:sz w:val="32"/>
          <w:szCs w:val="32"/>
          <w:lang w:val="en-US" w:eastAsia="zh-CN"/>
        </w:rPr>
      </w:pPr>
    </w:p>
    <w:p>
      <w:pPr>
        <w:numPr>
          <w:ilvl w:val="0"/>
          <w:numId w:val="0"/>
        </w:numPr>
        <w:ind w:leftChars="0"/>
        <w:rPr>
          <w:rFonts w:hint="eastAsia" w:ascii="黑体" w:hAnsi="黑体" w:eastAsia="黑体" w:cs="黑体"/>
          <w:b w:val="0"/>
          <w:bCs w:val="0"/>
          <w:sz w:val="32"/>
          <w:szCs w:val="32"/>
          <w:lang w:val="en-US" w:eastAsia="zh-CN"/>
        </w:rPr>
      </w:pPr>
    </w:p>
    <w:p>
      <w:pPr>
        <w:numPr>
          <w:ilvl w:val="0"/>
          <w:numId w:val="0"/>
        </w:numPr>
        <w:ind w:leftChars="0"/>
        <w:rPr>
          <w:rFonts w:hint="eastAsia" w:ascii="黑体" w:hAnsi="黑体" w:eastAsia="黑体" w:cs="黑体"/>
          <w:b w:val="0"/>
          <w:bCs w:val="0"/>
          <w:sz w:val="32"/>
          <w:szCs w:val="32"/>
          <w:lang w:val="en-US" w:eastAsia="zh-CN"/>
        </w:rPr>
      </w:pPr>
    </w:p>
    <w:p>
      <w:pPr>
        <w:numPr>
          <w:ilvl w:val="0"/>
          <w:numId w:val="0"/>
        </w:numPr>
        <w:ind w:leftChars="0" w:firstLine="3200" w:firstLineChars="10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企业基本信息</w:t>
      </w:r>
    </w:p>
    <w:tbl>
      <w:tblPr>
        <w:tblStyle w:val="3"/>
        <w:tblW w:w="8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250"/>
        <w:gridCol w:w="2445"/>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801" w:type="dxa"/>
          </w:tcPr>
          <w:p>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企业名称</w:t>
            </w:r>
          </w:p>
        </w:tc>
        <w:tc>
          <w:tcPr>
            <w:tcW w:w="2250"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昌吉吉盛新型建材有限公司</w:t>
            </w:r>
          </w:p>
        </w:tc>
        <w:tc>
          <w:tcPr>
            <w:tcW w:w="2445"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法定代表人</w:t>
            </w:r>
          </w:p>
        </w:tc>
        <w:tc>
          <w:tcPr>
            <w:tcW w:w="1905"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梁平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801" w:type="dxa"/>
          </w:tcPr>
          <w:p>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注册地址</w:t>
            </w:r>
          </w:p>
        </w:tc>
        <w:tc>
          <w:tcPr>
            <w:tcW w:w="2250"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新疆昌吉准东工业园区彩南片区</w:t>
            </w:r>
          </w:p>
        </w:tc>
        <w:tc>
          <w:tcPr>
            <w:tcW w:w="2445"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生产地址</w:t>
            </w:r>
          </w:p>
        </w:tc>
        <w:tc>
          <w:tcPr>
            <w:tcW w:w="1905"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新疆昌吉准东工业园区彩南片区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801" w:type="dxa"/>
          </w:tcPr>
          <w:p>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行业类别</w:t>
            </w:r>
          </w:p>
        </w:tc>
        <w:tc>
          <w:tcPr>
            <w:tcW w:w="2250"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有色金属冶炼</w:t>
            </w:r>
          </w:p>
        </w:tc>
        <w:tc>
          <w:tcPr>
            <w:tcW w:w="2445"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企业性质</w:t>
            </w:r>
          </w:p>
        </w:tc>
        <w:tc>
          <w:tcPr>
            <w:tcW w:w="1905"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私企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80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企业联系人</w:t>
            </w:r>
          </w:p>
        </w:tc>
        <w:tc>
          <w:tcPr>
            <w:tcW w:w="2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郭曙光</w:t>
            </w:r>
          </w:p>
        </w:tc>
        <w:tc>
          <w:tcPr>
            <w:tcW w:w="24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联系方式</w:t>
            </w:r>
          </w:p>
        </w:tc>
        <w:tc>
          <w:tcPr>
            <w:tcW w:w="1905"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18199993136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1" w:type="dxa"/>
          </w:tcPr>
          <w:p>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是否重点排污单位</w:t>
            </w:r>
          </w:p>
        </w:tc>
        <w:tc>
          <w:tcPr>
            <w:tcW w:w="2250"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是</w:t>
            </w:r>
          </w:p>
        </w:tc>
        <w:tc>
          <w:tcPr>
            <w:tcW w:w="2445"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是否实施强制性清洁生产审核的企业</w:t>
            </w:r>
          </w:p>
        </w:tc>
        <w:tc>
          <w:tcPr>
            <w:tcW w:w="1905"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801" w:type="dxa"/>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产品与服务</w:t>
            </w:r>
          </w:p>
        </w:tc>
        <w:tc>
          <w:tcPr>
            <w:tcW w:w="2250" w:type="dxa"/>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工业硅</w:t>
            </w:r>
          </w:p>
        </w:tc>
        <w:tc>
          <w:tcPr>
            <w:tcW w:w="2445" w:type="dxa"/>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生产工艺的名称</w:t>
            </w:r>
          </w:p>
        </w:tc>
        <w:tc>
          <w:tcPr>
            <w:tcW w:w="1905" w:type="dxa"/>
          </w:tcPr>
          <w:p>
            <w:pPr>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矮烟罩半封闭冶炼炉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801" w:type="dxa"/>
          </w:tcPr>
          <w:p>
            <w:pPr>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生产工艺情况</w:t>
            </w:r>
          </w:p>
        </w:tc>
        <w:tc>
          <w:tcPr>
            <w:tcW w:w="6600" w:type="dxa"/>
            <w:gridSpan w:val="3"/>
          </w:tcPr>
          <w:p>
            <w:pPr>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17套33兆瓦矮烟罩半封闭冶炼炉,17套布袋除尘、17套干法脱硫、17套SCR脱硝系统。</w:t>
            </w:r>
          </w:p>
        </w:tc>
      </w:tr>
    </w:tbl>
    <w:p>
      <w:pPr>
        <w:numPr>
          <w:ilvl w:val="0"/>
          <w:numId w:val="0"/>
        </w:numPr>
        <w:ind w:firstLine="2880" w:firstLineChars="900"/>
        <w:rPr>
          <w:rFonts w:hint="eastAsia" w:ascii="黑体" w:hAnsi="黑体" w:eastAsia="黑体" w:cs="黑体"/>
          <w:b w:val="0"/>
          <w:bCs w:val="0"/>
          <w:sz w:val="32"/>
          <w:szCs w:val="32"/>
          <w:lang w:val="en-US" w:eastAsia="zh-CN"/>
        </w:rPr>
      </w:pPr>
    </w:p>
    <w:p>
      <w:pPr>
        <w:numPr>
          <w:ilvl w:val="0"/>
          <w:numId w:val="0"/>
        </w:numPr>
        <w:ind w:firstLine="2880" w:firstLineChars="9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企业环境管理信息</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numPr>
                <w:ilvl w:val="0"/>
                <w:numId w:val="0"/>
              </w:num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许可名称</w:t>
            </w:r>
          </w:p>
        </w:tc>
        <w:tc>
          <w:tcPr>
            <w:tcW w:w="1704" w:type="dxa"/>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获得许可的审批文件</w:t>
            </w:r>
          </w:p>
        </w:tc>
        <w:tc>
          <w:tcPr>
            <w:tcW w:w="1704" w:type="dxa"/>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核发机关</w:t>
            </w:r>
          </w:p>
        </w:tc>
        <w:tc>
          <w:tcPr>
            <w:tcW w:w="1705" w:type="dxa"/>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获取时间</w:t>
            </w:r>
          </w:p>
        </w:tc>
        <w:tc>
          <w:tcPr>
            <w:tcW w:w="1705" w:type="dxa"/>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有效期限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建设项目环境影响评价</w:t>
            </w:r>
          </w:p>
        </w:tc>
        <w:tc>
          <w:tcPr>
            <w:tcW w:w="1704" w:type="dxa"/>
          </w:tcPr>
          <w:p>
            <w:pPr>
              <w:numPr>
                <w:ilvl w:val="0"/>
                <w:numId w:val="0"/>
              </w:num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新环函（2015）1387号</w:t>
            </w:r>
          </w:p>
        </w:tc>
        <w:tc>
          <w:tcPr>
            <w:tcW w:w="1704"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自治区环保厅</w:t>
            </w:r>
          </w:p>
        </w:tc>
        <w:tc>
          <w:tcPr>
            <w:tcW w:w="1705"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2015.12.15</w:t>
            </w:r>
          </w:p>
        </w:tc>
        <w:tc>
          <w:tcPr>
            <w:tcW w:w="1705"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704"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bCs/>
                <w:sz w:val="21"/>
                <w:szCs w:val="21"/>
                <w:vertAlign w:val="baseline"/>
                <w:lang w:val="en-US" w:eastAsia="zh-CN"/>
              </w:rPr>
            </w:pPr>
          </w:p>
        </w:tc>
        <w:tc>
          <w:tcPr>
            <w:tcW w:w="1704"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新环函（2017）2127号</w:t>
            </w:r>
          </w:p>
        </w:tc>
        <w:tc>
          <w:tcPr>
            <w:tcW w:w="1704"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自治区环保厅</w:t>
            </w:r>
          </w:p>
        </w:tc>
        <w:tc>
          <w:tcPr>
            <w:tcW w:w="1705"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2017.12.27</w:t>
            </w:r>
          </w:p>
        </w:tc>
        <w:tc>
          <w:tcPr>
            <w:tcW w:w="1705"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704" w:type="dxa"/>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排污许可</w:t>
            </w:r>
          </w:p>
        </w:tc>
        <w:tc>
          <w:tcPr>
            <w:tcW w:w="1704"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排污许可证91652327085385930C001Q</w:t>
            </w:r>
          </w:p>
        </w:tc>
        <w:tc>
          <w:tcPr>
            <w:tcW w:w="1704" w:type="dxa"/>
          </w:tcPr>
          <w:p>
            <w:pPr>
              <w:numPr>
                <w:ilvl w:val="0"/>
                <w:numId w:val="0"/>
              </w:num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准东环保局</w:t>
            </w:r>
          </w:p>
        </w:tc>
        <w:tc>
          <w:tcPr>
            <w:tcW w:w="1705"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2020.4.15</w:t>
            </w:r>
          </w:p>
        </w:tc>
        <w:tc>
          <w:tcPr>
            <w:tcW w:w="1705"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2023.4.14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val="0"/>
              <w:numPr>
                <w:ilvl w:val="0"/>
                <w:numId w:val="0"/>
              </w:numPr>
              <w:kinsoku/>
              <w:wordWrap/>
              <w:overflowPunct/>
              <w:topLinePunct w:val="0"/>
              <w:autoSpaceDE/>
              <w:autoSpaceDN/>
              <w:bidi w:val="0"/>
              <w:adjustRightInd/>
              <w:snapToGrid w:val="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突发环境事件应急预案</w:t>
            </w:r>
          </w:p>
        </w:tc>
        <w:tc>
          <w:tcPr>
            <w:tcW w:w="1704"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备案登记表</w:t>
            </w:r>
          </w:p>
        </w:tc>
        <w:tc>
          <w:tcPr>
            <w:tcW w:w="1704"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准东环保局</w:t>
            </w:r>
          </w:p>
        </w:tc>
        <w:tc>
          <w:tcPr>
            <w:tcW w:w="1705" w:type="dxa"/>
          </w:tcPr>
          <w:p>
            <w:pPr>
              <w:numPr>
                <w:ilvl w:val="0"/>
                <w:numId w:val="0"/>
              </w:num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2022.12.13</w:t>
            </w:r>
          </w:p>
        </w:tc>
        <w:tc>
          <w:tcPr>
            <w:tcW w:w="1705" w:type="dxa"/>
          </w:tcPr>
          <w:p>
            <w:pPr>
              <w:numPr>
                <w:ilvl w:val="0"/>
                <w:numId w:val="0"/>
              </w:numPr>
              <w:jc w:val="center"/>
              <w:rPr>
                <w:rFonts w:hint="eastAsia" w:ascii="宋体" w:hAnsi="宋体" w:eastAsia="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704" w:type="dxa"/>
          </w:tcPr>
          <w:p>
            <w:pPr>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1"/>
                <w:szCs w:val="21"/>
                <w:vertAlign w:val="baseline"/>
                <w:lang w:val="en-US" w:eastAsia="zh-CN"/>
              </w:rPr>
              <w:t>主要许可事项</w:t>
            </w:r>
          </w:p>
        </w:tc>
        <w:tc>
          <w:tcPr>
            <w:tcW w:w="6818" w:type="dxa"/>
            <w:gridSpan w:val="4"/>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有色金属冶炼、制造、销售等</w:t>
            </w:r>
          </w:p>
        </w:tc>
      </w:tr>
    </w:tbl>
    <w:p>
      <w:pPr>
        <w:numPr>
          <w:ilvl w:val="0"/>
          <w:numId w:val="0"/>
        </w:numPr>
        <w:rPr>
          <w:rFonts w:hint="eastAsia" w:ascii="黑体" w:hAnsi="黑体" w:eastAsia="黑体" w:cs="黑体"/>
          <w:b w:val="0"/>
          <w:bCs w:val="0"/>
          <w:sz w:val="28"/>
          <w:szCs w:val="28"/>
          <w:lang w:val="en-US" w:eastAsia="zh-CN"/>
        </w:rPr>
      </w:pPr>
      <w:r>
        <w:rPr>
          <w:rFonts w:hint="eastAsia" w:ascii="黑体" w:hAnsi="黑体" w:eastAsia="黑体" w:cs="黑体"/>
          <w:b w:val="0"/>
          <w:bCs w:val="0"/>
          <w:sz w:val="21"/>
          <w:szCs w:val="21"/>
          <w:lang w:val="en-US" w:eastAsia="zh-CN"/>
        </w:rPr>
        <w:t>表格根据实际情况可以调节</w:t>
      </w:r>
    </w:p>
    <w:p>
      <w:pPr>
        <w:numPr>
          <w:ilvl w:val="0"/>
          <w:numId w:val="0"/>
        </w:numP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 xml:space="preserve">              </w:t>
      </w:r>
    </w:p>
    <w:p>
      <w:pPr>
        <w:numPr>
          <w:ilvl w:val="0"/>
          <w:numId w:val="0"/>
        </w:numPr>
        <w:rPr>
          <w:rFonts w:hint="eastAsia" w:ascii="黑体" w:hAnsi="黑体" w:eastAsia="黑体" w:cs="黑体"/>
          <w:b w:val="0"/>
          <w:bCs w:val="0"/>
          <w:sz w:val="28"/>
          <w:szCs w:val="28"/>
          <w:lang w:val="en-US" w:eastAsia="zh-CN"/>
        </w:rPr>
      </w:pPr>
    </w:p>
    <w:p>
      <w:pPr>
        <w:numPr>
          <w:ilvl w:val="0"/>
          <w:numId w:val="0"/>
        </w:numPr>
        <w:rPr>
          <w:rFonts w:hint="eastAsia" w:ascii="黑体" w:hAnsi="黑体" w:eastAsia="黑体" w:cs="黑体"/>
          <w:b w:val="0"/>
          <w:bCs w:val="0"/>
          <w:sz w:val="28"/>
          <w:szCs w:val="28"/>
          <w:lang w:val="en-US" w:eastAsia="zh-CN"/>
        </w:rPr>
      </w:pPr>
    </w:p>
    <w:p>
      <w:pPr>
        <w:numPr>
          <w:ilvl w:val="0"/>
          <w:numId w:val="0"/>
        </w:numPr>
        <w:rPr>
          <w:rFonts w:hint="eastAsia" w:ascii="黑体" w:hAnsi="黑体" w:eastAsia="黑体" w:cs="黑体"/>
          <w:b w:val="0"/>
          <w:bCs w:val="0"/>
          <w:sz w:val="28"/>
          <w:szCs w:val="28"/>
          <w:lang w:val="en-US" w:eastAsia="zh-CN"/>
        </w:rPr>
      </w:pPr>
    </w:p>
    <w:p>
      <w:pPr>
        <w:numPr>
          <w:ilvl w:val="0"/>
          <w:numId w:val="0"/>
        </w:numPr>
        <w:rPr>
          <w:rFonts w:hint="eastAsia" w:ascii="黑体" w:hAnsi="黑体" w:eastAsia="黑体" w:cs="黑体"/>
          <w:b w:val="0"/>
          <w:bCs w:val="0"/>
          <w:sz w:val="28"/>
          <w:szCs w:val="28"/>
          <w:lang w:val="en-US" w:eastAsia="zh-CN"/>
        </w:rPr>
      </w:pPr>
    </w:p>
    <w:p>
      <w:pPr>
        <w:numPr>
          <w:ilvl w:val="0"/>
          <w:numId w:val="0"/>
        </w:numPr>
        <w:ind w:firstLine="1680" w:firstLineChars="600"/>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 xml:space="preserve">    </w:t>
      </w:r>
      <w:r>
        <w:rPr>
          <w:rFonts w:hint="eastAsia" w:ascii="黑体" w:hAnsi="黑体" w:eastAsia="黑体" w:cs="黑体"/>
          <w:b w:val="0"/>
          <w:bCs w:val="0"/>
          <w:sz w:val="32"/>
          <w:szCs w:val="32"/>
          <w:lang w:val="en-US" w:eastAsia="zh-CN"/>
        </w:rPr>
        <w:t xml:space="preserve"> 环境保护税缴纳信息</w:t>
      </w:r>
      <w:r>
        <w:rPr>
          <w:rFonts w:hint="eastAsia" w:ascii="黑体" w:hAnsi="黑体" w:eastAsia="黑体" w:cs="黑体"/>
          <w:b w:val="0"/>
          <w:bCs w:val="0"/>
          <w:sz w:val="28"/>
          <w:szCs w:val="28"/>
          <w:lang w:val="en-US" w:eastAsia="zh-CN"/>
        </w:rPr>
        <w:t xml:space="preserve">      </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6"/>
        <w:gridCol w:w="3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26" w:type="dxa"/>
          </w:tcPr>
          <w:p>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环境保护税分税目缴纳额</w:t>
            </w:r>
          </w:p>
        </w:tc>
        <w:tc>
          <w:tcPr>
            <w:tcW w:w="3796" w:type="dxa"/>
          </w:tcPr>
          <w:p>
            <w:pPr>
              <w:numPr>
                <w:ilvl w:val="0"/>
                <w:numId w:val="0"/>
              </w:numP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368.75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26" w:type="dxa"/>
          </w:tcPr>
          <w:p>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实际缴纳总额</w:t>
            </w:r>
          </w:p>
        </w:tc>
        <w:tc>
          <w:tcPr>
            <w:tcW w:w="3796" w:type="dxa"/>
          </w:tcPr>
          <w:p>
            <w:pPr>
              <w:numPr>
                <w:ilvl w:val="0"/>
                <w:numId w:val="0"/>
              </w:numP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318.68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26" w:type="dxa"/>
          </w:tcPr>
          <w:p>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依法依规享受税收减征或免征的情况</w:t>
            </w:r>
          </w:p>
        </w:tc>
        <w:tc>
          <w:tcPr>
            <w:tcW w:w="3796" w:type="dxa"/>
          </w:tcPr>
          <w:p>
            <w:pPr>
              <w:numPr>
                <w:ilvl w:val="0"/>
                <w:numId w:val="0"/>
              </w:numPr>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50.07</w:t>
            </w:r>
          </w:p>
        </w:tc>
      </w:tr>
    </w:tbl>
    <w:p>
      <w:pPr>
        <w:numPr>
          <w:ilvl w:val="0"/>
          <w:numId w:val="0"/>
        </w:numPr>
        <w:rPr>
          <w:rFonts w:hint="eastAsia" w:ascii="黑体" w:hAnsi="黑体" w:eastAsia="黑体" w:cs="黑体"/>
          <w:b w:val="0"/>
          <w:bCs w:val="0"/>
          <w:sz w:val="28"/>
          <w:szCs w:val="28"/>
          <w:lang w:val="en-US" w:eastAsia="zh-CN"/>
        </w:rPr>
      </w:pPr>
    </w:p>
    <w:p>
      <w:pPr>
        <w:numPr>
          <w:ilvl w:val="0"/>
          <w:numId w:val="0"/>
        </w:numPr>
        <w:rPr>
          <w:rFonts w:hint="eastAsia" w:ascii="黑体" w:hAnsi="黑体" w:eastAsia="黑体" w:cs="黑体"/>
          <w:b w:val="0"/>
          <w:bCs w:val="0"/>
          <w:sz w:val="32"/>
          <w:szCs w:val="32"/>
          <w:lang w:val="en-US" w:eastAsia="zh-CN"/>
        </w:rPr>
      </w:pPr>
      <w:r>
        <w:rPr>
          <w:rFonts w:hint="eastAsia" w:ascii="黑体" w:hAnsi="黑体" w:eastAsia="黑体" w:cs="黑体"/>
          <w:b w:val="0"/>
          <w:bCs w:val="0"/>
          <w:sz w:val="28"/>
          <w:szCs w:val="28"/>
          <w:lang w:val="en-US" w:eastAsia="zh-CN"/>
        </w:rPr>
        <w:t xml:space="preserve">             </w:t>
      </w:r>
      <w:r>
        <w:rPr>
          <w:rFonts w:hint="eastAsia" w:ascii="黑体" w:hAnsi="黑体" w:eastAsia="黑体" w:cs="黑体"/>
          <w:b w:val="0"/>
          <w:bCs w:val="0"/>
          <w:sz w:val="32"/>
          <w:szCs w:val="32"/>
          <w:lang w:val="en-US" w:eastAsia="zh-CN"/>
        </w:rPr>
        <w:t xml:space="preserve">   污染物产生、治理与排放信息</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numPr>
                <w:ilvl w:val="0"/>
                <w:numId w:val="0"/>
              </w:numPr>
              <w:kinsoku/>
              <w:wordWrap/>
              <w:overflowPunct/>
              <w:topLinePunct w:val="0"/>
              <w:autoSpaceDE/>
              <w:autoSpaceDN/>
              <w:bidi w:val="0"/>
              <w:adjustRightInd/>
              <w:snapToGrid w:val="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污染防治设施的名称</w:t>
            </w:r>
          </w:p>
        </w:tc>
        <w:tc>
          <w:tcPr>
            <w:tcW w:w="2130"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布袋除尘器</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脱硫系统</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脱硝系统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numPr>
                <w:ilvl w:val="0"/>
                <w:numId w:val="0"/>
              </w:numPr>
              <w:kinsoku/>
              <w:wordWrap/>
              <w:overflowPunct/>
              <w:topLinePunct w:val="0"/>
              <w:autoSpaceDE/>
              <w:autoSpaceDN/>
              <w:bidi w:val="0"/>
              <w:adjustRightInd/>
              <w:snapToGrid w:val="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对应的产污环节</w:t>
            </w:r>
          </w:p>
        </w:tc>
        <w:tc>
          <w:tcPr>
            <w:tcW w:w="2130"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冶炼烟气</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冶炼烟气</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冶炼烟气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numPr>
                <w:ilvl w:val="0"/>
                <w:numId w:val="0"/>
              </w:numPr>
              <w:kinsoku/>
              <w:wordWrap/>
              <w:overflowPunct/>
              <w:topLinePunct w:val="0"/>
              <w:autoSpaceDE/>
              <w:autoSpaceDN/>
              <w:bidi w:val="0"/>
              <w:adjustRightInd/>
              <w:snapToGrid w:val="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处理的污染物</w:t>
            </w:r>
          </w:p>
        </w:tc>
        <w:tc>
          <w:tcPr>
            <w:tcW w:w="2130"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颗粒物</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二氧化硫</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numPr>
                <w:ilvl w:val="0"/>
                <w:numId w:val="0"/>
              </w:numPr>
              <w:kinsoku/>
              <w:wordWrap/>
              <w:overflowPunct/>
              <w:topLinePunct w:val="0"/>
              <w:autoSpaceDE/>
              <w:autoSpaceDN/>
              <w:bidi w:val="0"/>
              <w:adjustRightInd/>
              <w:snapToGrid w:val="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对应排污口的名称</w:t>
            </w:r>
          </w:p>
        </w:tc>
        <w:tc>
          <w:tcPr>
            <w:tcW w:w="2130"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烟筒</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烟筒</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烟筒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numPr>
                <w:ilvl w:val="0"/>
                <w:numId w:val="0"/>
              </w:numPr>
              <w:kinsoku/>
              <w:wordWrap/>
              <w:overflowPunct/>
              <w:topLinePunct w:val="0"/>
              <w:autoSpaceDE/>
              <w:autoSpaceDN/>
              <w:bidi w:val="0"/>
              <w:adjustRightInd/>
              <w:snapToGrid w:val="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对应排污口的编号</w:t>
            </w:r>
          </w:p>
        </w:tc>
        <w:tc>
          <w:tcPr>
            <w:tcW w:w="2130" w:type="dxa"/>
          </w:tcPr>
          <w:p>
            <w:pPr>
              <w:numPr>
                <w:ilvl w:val="0"/>
                <w:numId w:val="0"/>
              </w:num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DA001-DA021</w:t>
            </w:r>
          </w:p>
        </w:tc>
        <w:tc>
          <w:tcPr>
            <w:tcW w:w="2131" w:type="dxa"/>
          </w:tcPr>
          <w:p>
            <w:pPr>
              <w:numPr>
                <w:ilvl w:val="0"/>
                <w:numId w:val="0"/>
              </w:num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DA001-DA012</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DA001-DA012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numPr>
                <w:ilvl w:val="0"/>
                <w:numId w:val="0"/>
              </w:numPr>
              <w:kinsoku/>
              <w:wordWrap/>
              <w:overflowPunct/>
              <w:topLinePunct w:val="0"/>
              <w:autoSpaceDE/>
              <w:autoSpaceDN/>
              <w:bidi w:val="0"/>
              <w:adjustRightInd/>
              <w:snapToGrid w:val="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排放的污染物次数、日期及时长</w:t>
            </w:r>
          </w:p>
        </w:tc>
        <w:tc>
          <w:tcPr>
            <w:tcW w:w="2130" w:type="dxa"/>
          </w:tcPr>
          <w:p>
            <w:pPr>
              <w:numPr>
                <w:ilvl w:val="0"/>
                <w:numId w:val="0"/>
              </w:num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7200h连续排放</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7200h连续排放</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7200h连续排放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numPr>
                <w:ilvl w:val="0"/>
                <w:numId w:val="0"/>
              </w:numPr>
              <w:kinsoku/>
              <w:wordWrap/>
              <w:overflowPunct/>
              <w:topLinePunct w:val="0"/>
              <w:autoSpaceDE/>
              <w:autoSpaceDN/>
              <w:bidi w:val="0"/>
              <w:adjustRightInd/>
              <w:snapToGrid w:val="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排放的污染物主要原因</w:t>
            </w:r>
          </w:p>
        </w:tc>
        <w:tc>
          <w:tcPr>
            <w:tcW w:w="2130"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颗粒物、二氧化硫、氮氧化物</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颗粒物、二氧化硫、氮氧化物</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颗粒物、二氧化硫、氮氧化物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numPr>
                <w:ilvl w:val="0"/>
                <w:numId w:val="0"/>
              </w:numPr>
              <w:kinsoku/>
              <w:wordWrap/>
              <w:overflowPunct/>
              <w:topLinePunct w:val="0"/>
              <w:autoSpaceDE/>
              <w:autoSpaceDN/>
              <w:bidi w:val="0"/>
              <w:adjustRightInd/>
              <w:snapToGrid w:val="0"/>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污染防治设施运行维护情况</w:t>
            </w:r>
          </w:p>
        </w:tc>
        <w:tc>
          <w:tcPr>
            <w:tcW w:w="2130"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自主运行</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自主运行</w:t>
            </w:r>
          </w:p>
        </w:tc>
        <w:tc>
          <w:tcPr>
            <w:tcW w:w="213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自主运行</w:t>
            </w:r>
          </w:p>
        </w:tc>
      </w:tr>
    </w:tbl>
    <w:p>
      <w:pPr>
        <w:numPr>
          <w:ilvl w:val="0"/>
          <w:numId w:val="0"/>
        </w:numPr>
        <w:rPr>
          <w:rFonts w:hint="eastAsia" w:ascii="宋体" w:hAnsi="宋体" w:eastAsia="宋体" w:cs="宋体"/>
          <w:b w:val="0"/>
          <w:bCs w:val="0"/>
          <w:sz w:val="28"/>
          <w:szCs w:val="28"/>
          <w:lang w:val="en-US" w:eastAsia="zh-CN"/>
        </w:rPr>
      </w:pPr>
    </w:p>
    <w:p>
      <w:pPr>
        <w:numPr>
          <w:ilvl w:val="0"/>
          <w:numId w:val="0"/>
        </w:numPr>
        <w:ind w:firstLine="3200" w:firstLineChars="10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排污许可执行报告</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排污许可证管理类别</w:t>
            </w:r>
          </w:p>
        </w:tc>
        <w:tc>
          <w:tcPr>
            <w:tcW w:w="426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重点管理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执行报告应编制公开的次数</w:t>
            </w:r>
          </w:p>
        </w:tc>
        <w:tc>
          <w:tcPr>
            <w:tcW w:w="426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季报、年报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实际编制公开的次数</w:t>
            </w:r>
          </w:p>
        </w:tc>
        <w:tc>
          <w:tcPr>
            <w:tcW w:w="426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按频次全部公开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numPr>
                <w:ilvl w:val="0"/>
                <w:numId w:val="0"/>
              </w:num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发布信息</w:t>
            </w:r>
          </w:p>
        </w:tc>
        <w:tc>
          <w:tcPr>
            <w:tcW w:w="426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排污许可证平台发布</w:t>
            </w:r>
          </w:p>
        </w:tc>
      </w:tr>
    </w:tbl>
    <w:p>
      <w:pPr>
        <w:numPr>
          <w:ilvl w:val="0"/>
          <w:numId w:val="0"/>
        </w:num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               </w:t>
      </w:r>
    </w:p>
    <w:p>
      <w:pPr>
        <w:numPr>
          <w:ilvl w:val="0"/>
          <w:numId w:val="0"/>
        </w:num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                  生态环境应急信息</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numPr>
                <w:ilvl w:val="0"/>
                <w:numId w:val="0"/>
              </w:num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突发环境事件应急预案</w:t>
            </w:r>
          </w:p>
        </w:tc>
        <w:tc>
          <w:tcPr>
            <w:tcW w:w="426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昌吉吉盛新型建材有限公司突发环境事件应急预案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numPr>
                <w:ilvl w:val="0"/>
                <w:numId w:val="0"/>
              </w:num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备案机关</w:t>
            </w:r>
          </w:p>
        </w:tc>
        <w:tc>
          <w:tcPr>
            <w:tcW w:w="426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准东环保局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numPr>
                <w:ilvl w:val="0"/>
                <w:numId w:val="0"/>
              </w:num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备案编号</w:t>
            </w:r>
          </w:p>
        </w:tc>
        <w:tc>
          <w:tcPr>
            <w:tcW w:w="426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652327-2017-05-L</w:t>
            </w:r>
          </w:p>
        </w:tc>
      </w:tr>
    </w:tbl>
    <w:p>
      <w:pPr>
        <w:numPr>
          <w:ilvl w:val="0"/>
          <w:numId w:val="0"/>
        </w:numPr>
        <w:rPr>
          <w:rFonts w:hint="default" w:ascii="黑体" w:hAnsi="黑体" w:eastAsia="黑体" w:cs="黑体"/>
          <w:b w:val="0"/>
          <w:bCs w:val="0"/>
          <w:sz w:val="32"/>
          <w:szCs w:val="32"/>
          <w:lang w:val="en-US" w:eastAsia="zh-CN"/>
        </w:rPr>
      </w:pPr>
    </w:p>
    <w:p>
      <w:pPr>
        <w:numPr>
          <w:ilvl w:val="0"/>
          <w:numId w:val="0"/>
        </w:num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28"/>
          <w:szCs w:val="28"/>
          <w:lang w:val="en-US" w:eastAsia="zh-CN"/>
        </w:rPr>
        <w:t>重污染天气应急响应情况</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重污染天气应急预案编制情况</w:t>
            </w:r>
          </w:p>
        </w:tc>
        <w:tc>
          <w:tcPr>
            <w:tcW w:w="426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已完成编制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numPr>
                <w:ilvl w:val="0"/>
                <w:numId w:val="0"/>
              </w:numPr>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一厂一策公示牌落实情况</w:t>
            </w:r>
          </w:p>
        </w:tc>
        <w:tc>
          <w:tcPr>
            <w:tcW w:w="4261" w:type="dxa"/>
          </w:tcPr>
          <w:p>
            <w:pPr>
              <w:numPr>
                <w:ilvl w:val="0"/>
                <w:numId w:val="0"/>
              </w:num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已落实</w:t>
            </w:r>
          </w:p>
        </w:tc>
      </w:tr>
    </w:tbl>
    <w:p>
      <w:pPr>
        <w:jc w:val="center"/>
        <w:rPr>
          <w:rFonts w:hint="eastAsia"/>
          <w:b/>
          <w:bCs/>
          <w:sz w:val="24"/>
          <w:szCs w:val="32"/>
          <w:lang w:val="en-US" w:eastAsia="zh-CN"/>
        </w:rPr>
      </w:pPr>
    </w:p>
    <w:tbl>
      <w:tblPr>
        <w:tblStyle w:val="3"/>
        <w:tblpPr w:leftFromText="180" w:rightFromText="180" w:vertAnchor="page" w:horzAnchor="page" w:tblpX="2085" w:tblpY="1728"/>
        <w:tblOverlap w:val="never"/>
        <w:tblW w:w="78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4"/>
        <w:gridCol w:w="3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812" w:type="dxa"/>
            <w:gridSpan w:val="2"/>
          </w:tcPr>
          <w:p>
            <w:pPr>
              <w:jc w:val="center"/>
              <w:rPr>
                <w:rFonts w:hint="eastAsia" w:eastAsiaTheme="minorEastAsia"/>
                <w:vertAlign w:val="baseline"/>
                <w:lang w:val="en-US" w:eastAsia="zh-CN"/>
              </w:rPr>
            </w:pPr>
            <w:r>
              <w:rPr>
                <w:rFonts w:hint="eastAsia" w:ascii="黑体" w:hAnsi="黑体" w:eastAsia="黑体" w:cs="黑体"/>
                <w:b/>
                <w:bCs/>
                <w:sz w:val="24"/>
                <w:szCs w:val="24"/>
                <w:vertAlign w:val="baseline"/>
                <w:lang w:val="en-US" w:eastAsia="zh-CN"/>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tcPr>
          <w:p>
            <w:pPr>
              <w:jc w:val="left"/>
              <w:rPr>
                <w:rFonts w:hint="eastAsia" w:ascii="黑体" w:hAnsi="黑体" w:eastAsia="黑体" w:cs="黑体"/>
                <w:vertAlign w:val="baseline"/>
              </w:rPr>
            </w:pPr>
            <w:r>
              <w:rPr>
                <w:rFonts w:hint="eastAsia" w:ascii="黑体" w:hAnsi="黑体" w:eastAsia="黑体" w:cs="黑体"/>
                <w:vertAlign w:val="baseline"/>
                <w:lang w:eastAsia="zh-CN"/>
              </w:rPr>
              <w:t>大气污染物名称</w:t>
            </w:r>
          </w:p>
        </w:tc>
        <w:tc>
          <w:tcPr>
            <w:tcW w:w="3348" w:type="dxa"/>
          </w:tcPr>
          <w:p>
            <w:pPr>
              <w:rPr>
                <w:rFonts w:hint="eastAsia" w:eastAsiaTheme="minorEastAsia"/>
                <w:vertAlign w:val="baseline"/>
                <w:lang w:eastAsia="zh-CN"/>
              </w:rPr>
            </w:pPr>
            <w:r>
              <w:rPr>
                <w:rFonts w:hint="eastAsia"/>
                <w:vertAlign w:val="baseline"/>
                <w:lang w:eastAsia="zh-CN"/>
              </w:rPr>
              <w:t>颗粒物、二氧化硫、氮氧化物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tcPr>
          <w:p>
            <w:pPr>
              <w:jc w:val="left"/>
              <w:rPr>
                <w:rFonts w:hint="eastAsia" w:ascii="黑体" w:hAnsi="黑体" w:eastAsia="黑体" w:cs="黑体"/>
                <w:vertAlign w:val="baseline"/>
              </w:rPr>
            </w:pPr>
            <w:r>
              <w:rPr>
                <w:rFonts w:hint="eastAsia" w:ascii="黑体" w:hAnsi="黑体" w:eastAsia="黑体" w:cs="黑体"/>
                <w:vertAlign w:val="baseline"/>
                <w:lang w:eastAsia="zh-CN"/>
              </w:rPr>
              <w:t>大气污染物排污口的数量</w:t>
            </w:r>
          </w:p>
        </w:tc>
        <w:tc>
          <w:tcPr>
            <w:tcW w:w="3348" w:type="dxa"/>
          </w:tcPr>
          <w:p>
            <w:pPr>
              <w:rPr>
                <w:rFonts w:hint="default" w:eastAsiaTheme="minorEastAsia"/>
                <w:vertAlign w:val="baseline"/>
                <w:lang w:val="en-US" w:eastAsia="zh-CN"/>
              </w:rPr>
            </w:pPr>
            <w:r>
              <w:rPr>
                <w:rFonts w:hint="eastAsia"/>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vMerge w:val="restart"/>
          </w:tcPr>
          <w:p>
            <w:pPr>
              <w:jc w:val="left"/>
              <w:rPr>
                <w:rFonts w:hint="eastAsia" w:ascii="黑体" w:hAnsi="黑体" w:eastAsia="黑体" w:cs="黑体"/>
                <w:vertAlign w:val="baseline"/>
                <w:lang w:eastAsia="zh-CN"/>
              </w:rPr>
            </w:pPr>
          </w:p>
          <w:p>
            <w:pPr>
              <w:jc w:val="left"/>
              <w:rPr>
                <w:rFonts w:hint="eastAsia" w:ascii="黑体" w:hAnsi="黑体" w:eastAsia="黑体" w:cs="黑体"/>
                <w:vertAlign w:val="baseline"/>
              </w:rPr>
            </w:pPr>
            <w:r>
              <w:rPr>
                <w:rFonts w:hint="eastAsia" w:ascii="黑体" w:hAnsi="黑体" w:eastAsia="黑体" w:cs="黑体"/>
                <w:vertAlign w:val="baseline"/>
                <w:lang w:eastAsia="zh-CN"/>
              </w:rPr>
              <w:t>主要排污口各项污染物的实际排放总量</w:t>
            </w:r>
          </w:p>
        </w:tc>
        <w:tc>
          <w:tcPr>
            <w:tcW w:w="3348" w:type="dxa"/>
          </w:tcPr>
          <w:p>
            <w:pPr>
              <w:rPr>
                <w:rFonts w:hint="default" w:eastAsiaTheme="minorEastAsia"/>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vMerge w:val="continue"/>
          </w:tcPr>
          <w:p>
            <w:pPr>
              <w:jc w:val="left"/>
              <w:rPr>
                <w:rFonts w:hint="eastAsia" w:ascii="黑体" w:hAnsi="黑体" w:eastAsia="黑体" w:cs="黑体"/>
                <w:vertAlign w:val="baseline"/>
              </w:rPr>
            </w:pPr>
          </w:p>
        </w:tc>
        <w:tc>
          <w:tcPr>
            <w:tcW w:w="3348" w:type="dxa"/>
          </w:tcPr>
          <w:p>
            <w:pPr>
              <w:rPr>
                <w:rFonts w:hint="default" w:eastAsiaTheme="minorEastAsia"/>
                <w:vertAlign w:val="baseline"/>
                <w:lang w:val="en-US" w:eastAsia="zh-CN"/>
              </w:rPr>
            </w:pPr>
            <w:r>
              <w:rPr>
                <w:rFonts w:hint="eastAsia"/>
                <w:vertAlign w:val="baseline"/>
                <w:lang w:val="en-US" w:eastAsia="zh-CN"/>
              </w:rPr>
              <w:t>1937t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vMerge w:val="continue"/>
          </w:tcPr>
          <w:p>
            <w:pPr>
              <w:jc w:val="left"/>
              <w:rPr>
                <w:rFonts w:hint="eastAsia" w:ascii="黑体" w:hAnsi="黑体" w:eastAsia="黑体" w:cs="黑体"/>
                <w:vertAlign w:val="baseline"/>
              </w:rPr>
            </w:pPr>
          </w:p>
        </w:tc>
        <w:tc>
          <w:tcPr>
            <w:tcW w:w="3348" w:type="dxa"/>
          </w:tcPr>
          <w:p>
            <w:pPr>
              <w:rPr>
                <w:rFonts w:hint="default" w:eastAsiaTheme="minorEastAsia"/>
                <w:vertAlign w:val="baseline"/>
                <w:lang w:val="en-US" w:eastAsia="zh-CN"/>
              </w:rPr>
            </w:pPr>
            <w:r>
              <w:rPr>
                <w:rFonts w:hint="eastAsia"/>
                <w:vertAlign w:val="baseline"/>
                <w:lang w:val="en-US" w:eastAsia="zh-CN"/>
              </w:rPr>
              <w:t>2499t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vMerge w:val="restart"/>
          </w:tcPr>
          <w:p>
            <w:pPr>
              <w:jc w:val="left"/>
              <w:rPr>
                <w:rFonts w:hint="eastAsia" w:ascii="黑体" w:hAnsi="黑体" w:eastAsia="黑体" w:cs="黑体"/>
                <w:vertAlign w:val="baseline"/>
              </w:rPr>
            </w:pPr>
          </w:p>
          <w:p>
            <w:pPr>
              <w:bidi w:val="0"/>
              <w:jc w:val="left"/>
              <w:rPr>
                <w:rFonts w:hint="eastAsia" w:ascii="黑体" w:hAnsi="黑体" w:eastAsia="黑体" w:cs="黑体"/>
                <w:kern w:val="2"/>
                <w:sz w:val="21"/>
                <w:szCs w:val="24"/>
                <w:lang w:val="en-US" w:eastAsia="zh-CN" w:bidi="ar-SA"/>
              </w:rPr>
            </w:pPr>
            <w:r>
              <w:rPr>
                <w:rFonts w:hint="eastAsia" w:ascii="黑体" w:hAnsi="黑体" w:eastAsia="黑体" w:cs="黑体"/>
                <w:kern w:val="2"/>
                <w:sz w:val="21"/>
                <w:szCs w:val="24"/>
                <w:lang w:val="en-US" w:eastAsia="zh-CN" w:bidi="ar-SA"/>
              </w:rPr>
              <w:t>大气污染物小时浓度的年度平均值</w:t>
            </w:r>
          </w:p>
        </w:tc>
        <w:tc>
          <w:tcPr>
            <w:tcW w:w="3348" w:type="dxa"/>
          </w:tcPr>
          <w:p>
            <w:pPr>
              <w:rPr>
                <w:rFonts w:hint="default" w:eastAsiaTheme="minorEastAsia"/>
                <w:vertAlign w:val="baseline"/>
                <w:lang w:val="en-US" w:eastAsia="zh-CN"/>
              </w:rPr>
            </w:pPr>
            <w:r>
              <w:rPr>
                <w:rFonts w:hint="eastAsia"/>
                <w:vertAlign w:val="baseline"/>
                <w:lang w:val="en-US" w:eastAsia="zh-CN"/>
              </w:rPr>
              <w:t>颗粒物11.23mg/m3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vMerge w:val="continue"/>
          </w:tcPr>
          <w:p>
            <w:pPr>
              <w:jc w:val="left"/>
              <w:rPr>
                <w:rFonts w:hint="eastAsia" w:ascii="黑体" w:hAnsi="黑体" w:eastAsia="黑体" w:cs="黑体"/>
                <w:vertAlign w:val="baseline"/>
              </w:rPr>
            </w:pPr>
          </w:p>
        </w:tc>
        <w:tc>
          <w:tcPr>
            <w:tcW w:w="3348" w:type="dxa"/>
          </w:tcPr>
          <w:p>
            <w:pPr>
              <w:rPr>
                <w:rFonts w:hint="default" w:eastAsiaTheme="minorEastAsia"/>
                <w:vertAlign w:val="baseline"/>
                <w:lang w:val="en-US" w:eastAsia="zh-CN"/>
              </w:rPr>
            </w:pPr>
            <w:r>
              <w:rPr>
                <w:rFonts w:hint="eastAsia"/>
                <w:vertAlign w:val="baseline"/>
                <w:lang w:val="en-US" w:eastAsia="zh-CN"/>
              </w:rPr>
              <w:t>二氧化硫32.65mg/m3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vMerge w:val="continue"/>
          </w:tcPr>
          <w:p>
            <w:pPr>
              <w:jc w:val="left"/>
              <w:rPr>
                <w:rFonts w:hint="eastAsia" w:ascii="黑体" w:hAnsi="黑体" w:eastAsia="黑体" w:cs="黑体"/>
                <w:vertAlign w:val="baseline"/>
              </w:rPr>
            </w:pPr>
          </w:p>
        </w:tc>
        <w:tc>
          <w:tcPr>
            <w:tcW w:w="3348" w:type="dxa"/>
          </w:tcPr>
          <w:p>
            <w:pPr>
              <w:rPr>
                <w:rFonts w:hint="default" w:eastAsiaTheme="minorEastAsia"/>
                <w:vertAlign w:val="baseline"/>
                <w:lang w:val="en-US" w:eastAsia="zh-CN"/>
              </w:rPr>
            </w:pPr>
            <w:r>
              <w:rPr>
                <w:rFonts w:hint="eastAsia"/>
                <w:vertAlign w:val="baseline"/>
                <w:lang w:eastAsia="zh-CN"/>
              </w:rPr>
              <w:t>氮氧化物</w:t>
            </w:r>
            <w:r>
              <w:rPr>
                <w:rFonts w:hint="eastAsia"/>
                <w:vertAlign w:val="baseline"/>
                <w:lang w:val="en-US" w:eastAsia="zh-CN"/>
              </w:rPr>
              <w:t>36.28mg/m3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tcPr>
          <w:p>
            <w:pPr>
              <w:jc w:val="left"/>
              <w:rPr>
                <w:rFonts w:hint="eastAsia" w:ascii="黑体" w:hAnsi="黑体" w:eastAsia="黑体" w:cs="黑体"/>
                <w:vertAlign w:val="baseline"/>
              </w:rPr>
            </w:pPr>
            <w:r>
              <w:rPr>
                <w:rFonts w:hint="eastAsia" w:ascii="黑体" w:hAnsi="黑体" w:eastAsia="黑体" w:cs="黑体"/>
                <w:vertAlign w:val="baseline"/>
              </w:rPr>
              <w:t>各排污口安装污染源在线自动监测设备及与生态环境部门联网情况</w:t>
            </w:r>
          </w:p>
        </w:tc>
        <w:tc>
          <w:tcPr>
            <w:tcW w:w="3348" w:type="dxa"/>
          </w:tcPr>
          <w:p>
            <w:pPr>
              <w:rPr>
                <w:rFonts w:hint="eastAsia" w:eastAsiaTheme="minorEastAsia"/>
                <w:vertAlign w:val="baseline"/>
                <w:lang w:eastAsia="zh-CN"/>
              </w:rPr>
            </w:pPr>
            <w:r>
              <w:rPr>
                <w:rFonts w:hint="eastAsia"/>
                <w:vertAlign w:val="baseline"/>
                <w:lang w:eastAsia="zh-CN"/>
              </w:rPr>
              <w:t>已安装在线监测设备并联网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812" w:type="dxa"/>
            <w:gridSpan w:val="2"/>
          </w:tcPr>
          <w:p>
            <w:pPr>
              <w:jc w:val="center"/>
              <w:rPr>
                <w:vertAlign w:val="baseline"/>
              </w:rPr>
            </w:pPr>
            <w:r>
              <w:rPr>
                <w:rFonts w:hint="eastAsia" w:ascii="黑体" w:hAnsi="黑体" w:eastAsia="黑体" w:cs="黑体"/>
                <w:b/>
                <w:bCs/>
                <w:sz w:val="24"/>
                <w:szCs w:val="24"/>
                <w:vertAlign w:val="baseline"/>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tcPr>
          <w:p>
            <w:pPr>
              <w:jc w:val="left"/>
              <w:rPr>
                <w:rFonts w:hint="eastAsia" w:ascii="黑体" w:hAnsi="黑体" w:eastAsia="黑体" w:cs="黑体"/>
                <w:vertAlign w:val="baseline"/>
              </w:rPr>
            </w:pPr>
            <w:r>
              <w:rPr>
                <w:rFonts w:hint="eastAsia" w:ascii="黑体" w:hAnsi="黑体" w:eastAsia="黑体" w:cs="黑体"/>
                <w:vertAlign w:val="baseline"/>
              </w:rPr>
              <w:t>无组织排放污染物名称</w:t>
            </w:r>
          </w:p>
        </w:tc>
        <w:tc>
          <w:tcPr>
            <w:tcW w:w="3348" w:type="dxa"/>
          </w:tcPr>
          <w:p>
            <w:pPr>
              <w:rPr>
                <w:rFonts w:hint="eastAsia" w:eastAsiaTheme="minorEastAsia"/>
                <w:vertAlign w:val="baseline"/>
                <w:lang w:eastAsia="zh-CN"/>
              </w:rPr>
            </w:pPr>
            <w:r>
              <w:rPr>
                <w:rFonts w:hint="eastAsia"/>
                <w:vertAlign w:val="baseline"/>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tcPr>
          <w:p>
            <w:pPr>
              <w:jc w:val="left"/>
              <w:rPr>
                <w:rFonts w:hint="eastAsia" w:ascii="黑体" w:hAnsi="黑体" w:eastAsia="黑体" w:cs="黑体"/>
                <w:vertAlign w:val="baseline"/>
              </w:rPr>
            </w:pPr>
            <w:r>
              <w:rPr>
                <w:rFonts w:hint="eastAsia" w:ascii="黑体" w:hAnsi="黑体" w:eastAsia="黑体" w:cs="黑体"/>
                <w:vertAlign w:val="baseline"/>
              </w:rPr>
              <w:t>无组织排放监测点位名称</w:t>
            </w:r>
          </w:p>
        </w:tc>
        <w:tc>
          <w:tcPr>
            <w:tcW w:w="3348" w:type="dxa"/>
          </w:tcPr>
          <w:p>
            <w:pPr>
              <w:rPr>
                <w:rFonts w:hint="eastAsia" w:eastAsiaTheme="minorEastAsia"/>
                <w:vertAlign w:val="baseline"/>
                <w:lang w:eastAsia="zh-CN"/>
              </w:rPr>
            </w:pPr>
            <w:r>
              <w:rPr>
                <w:rFonts w:hint="eastAsia"/>
                <w:vertAlign w:val="baseline"/>
                <w:lang w:eastAsia="zh-CN"/>
              </w:rPr>
              <w:t>厂区四周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464" w:type="dxa"/>
          </w:tcPr>
          <w:p>
            <w:pPr>
              <w:jc w:val="left"/>
              <w:rPr>
                <w:rFonts w:hint="eastAsia" w:ascii="黑体" w:hAnsi="黑体" w:eastAsia="黑体" w:cs="黑体"/>
                <w:vertAlign w:val="baseline"/>
              </w:rPr>
            </w:pPr>
          </w:p>
          <w:p>
            <w:pPr>
              <w:jc w:val="left"/>
              <w:rPr>
                <w:rFonts w:hint="eastAsia" w:ascii="黑体" w:hAnsi="黑体" w:eastAsia="黑体" w:cs="黑体"/>
                <w:vertAlign w:val="baseline"/>
              </w:rPr>
            </w:pPr>
            <w:r>
              <w:rPr>
                <w:rFonts w:hint="eastAsia" w:ascii="黑体" w:hAnsi="黑体" w:eastAsia="黑体" w:cs="黑体"/>
                <w:vertAlign w:val="baseline"/>
              </w:rPr>
              <w:t>各监测点位主要大气污染物实际排放浓度</w:t>
            </w:r>
          </w:p>
        </w:tc>
        <w:tc>
          <w:tcPr>
            <w:tcW w:w="3348" w:type="dxa"/>
          </w:tcPr>
          <w:p>
            <w:pPr>
              <w:rPr>
                <w:rFonts w:hint="eastAsia"/>
                <w:vertAlign w:val="baseline"/>
                <w:lang w:val="en-US" w:eastAsia="zh-CN"/>
              </w:rPr>
            </w:pPr>
            <w:r>
              <w:rPr>
                <w:rFonts w:hint="eastAsia"/>
                <w:vertAlign w:val="baseline"/>
                <w:lang w:val="en-US" w:eastAsia="zh-CN"/>
              </w:rPr>
              <w:t>1#0.36mg/m3、2#0.51mg/m3、</w:t>
            </w:r>
          </w:p>
          <w:p>
            <w:pPr>
              <w:rPr>
                <w:rFonts w:hint="default" w:eastAsiaTheme="minorEastAsia"/>
                <w:vertAlign w:val="baseline"/>
                <w:lang w:val="en-US" w:eastAsia="zh-CN"/>
              </w:rPr>
            </w:pPr>
            <w:r>
              <w:rPr>
                <w:rFonts w:hint="eastAsia"/>
                <w:vertAlign w:val="baseline"/>
                <w:lang w:val="en-US" w:eastAsia="zh-CN"/>
              </w:rPr>
              <w:t>3#0.42mg/m3、4#0.38mg/m3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812" w:type="dxa"/>
            <w:gridSpan w:val="2"/>
          </w:tcPr>
          <w:p>
            <w:pPr>
              <w:jc w:val="center"/>
              <w:rPr>
                <w:rFonts w:hint="eastAsia" w:eastAsiaTheme="minorEastAsia"/>
                <w:vertAlign w:val="baseline"/>
                <w:lang w:eastAsia="zh-CN"/>
              </w:rPr>
            </w:pPr>
            <w:r>
              <w:rPr>
                <w:rFonts w:hint="eastAsia" w:ascii="黑体" w:hAnsi="黑体" w:eastAsia="黑体" w:cs="黑体"/>
                <w:b/>
                <w:bCs/>
                <w:sz w:val="24"/>
                <w:szCs w:val="24"/>
                <w:vertAlign w:val="baseline"/>
                <w:lang w:eastAsia="zh-CN"/>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tcPr>
          <w:p>
            <w:pPr>
              <w:rPr>
                <w:rFonts w:hint="eastAsia" w:ascii="黑体" w:hAnsi="黑体" w:eastAsia="黑体" w:cs="黑体"/>
                <w:vertAlign w:val="baseline"/>
              </w:rPr>
            </w:pPr>
            <w:r>
              <w:rPr>
                <w:rFonts w:hint="eastAsia" w:ascii="黑体" w:hAnsi="黑体" w:eastAsia="黑体" w:cs="黑体"/>
                <w:vertAlign w:val="baseline"/>
              </w:rPr>
              <w:t>全年生产天数</w:t>
            </w:r>
          </w:p>
        </w:tc>
        <w:tc>
          <w:tcPr>
            <w:tcW w:w="3348" w:type="dxa"/>
          </w:tcPr>
          <w:p>
            <w:pPr>
              <w:rPr>
                <w:rFonts w:hint="default" w:eastAsiaTheme="minorEastAsia"/>
                <w:vertAlign w:val="baseline"/>
                <w:lang w:val="en-US" w:eastAsia="zh-CN"/>
              </w:rPr>
            </w:pPr>
            <w:r>
              <w:rPr>
                <w:rFonts w:hint="eastAsia"/>
                <w:vertAlign w:val="baseli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tcPr>
          <w:p>
            <w:pPr>
              <w:rPr>
                <w:rFonts w:hint="eastAsia" w:ascii="黑体" w:hAnsi="黑体" w:eastAsia="黑体" w:cs="黑体"/>
                <w:vertAlign w:val="baseline"/>
              </w:rPr>
            </w:pPr>
            <w:r>
              <w:rPr>
                <w:rFonts w:hint="eastAsia" w:ascii="黑体" w:hAnsi="黑体" w:eastAsia="黑体" w:cs="黑体"/>
                <w:vertAlign w:val="baseline"/>
              </w:rPr>
              <w:t>自行监测天数(或次数)</w:t>
            </w:r>
          </w:p>
        </w:tc>
        <w:tc>
          <w:tcPr>
            <w:tcW w:w="3348" w:type="dxa"/>
          </w:tcPr>
          <w:p>
            <w:pPr>
              <w:rPr>
                <w:rFonts w:hint="eastAsia" w:ascii="宋体" w:hAnsi="宋体" w:eastAsia="宋体" w:cs="宋体"/>
                <w:vertAlign w:val="baseline"/>
                <w:lang w:val="en-US" w:eastAsia="zh-CN"/>
              </w:rPr>
            </w:pPr>
            <w:r>
              <w:rPr>
                <w:rFonts w:hint="eastAsia" w:ascii="宋体" w:hAnsi="宋体" w:eastAsia="宋体" w:cs="宋体"/>
                <w:vertAlign w:val="baseline"/>
                <w:lang w:eastAsia="zh-CN"/>
              </w:rPr>
              <w:t>自动监测：</w:t>
            </w:r>
            <w:r>
              <w:rPr>
                <w:rFonts w:hint="eastAsia" w:ascii="宋体" w:hAnsi="宋体" w:eastAsia="宋体" w:cs="宋体"/>
                <w:vertAlign w:val="baseline"/>
                <w:lang w:val="en-US" w:eastAsia="zh-CN"/>
              </w:rPr>
              <w:t>24小时连续监测</w:t>
            </w:r>
          </w:p>
          <w:p>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手工监测：每季度一次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64" w:type="dxa"/>
          </w:tcPr>
          <w:p>
            <w:pPr>
              <w:rPr>
                <w:rFonts w:hint="eastAsia" w:ascii="黑体" w:hAnsi="黑体" w:eastAsia="黑体" w:cs="黑体"/>
                <w:vertAlign w:val="baseline"/>
              </w:rPr>
            </w:pPr>
            <w:r>
              <w:rPr>
                <w:rFonts w:hint="eastAsia" w:ascii="黑体" w:hAnsi="黑体" w:eastAsia="黑体" w:cs="黑体"/>
                <w:vertAlign w:val="baseline"/>
              </w:rPr>
              <w:t>委托的第三方检测机构名称和资质</w:t>
            </w:r>
          </w:p>
        </w:tc>
        <w:tc>
          <w:tcPr>
            <w:tcW w:w="3348" w:type="dxa"/>
          </w:tcPr>
          <w:p>
            <w:pPr>
              <w:rPr>
                <w:rFonts w:hint="eastAsia" w:ascii="宋体" w:hAnsi="宋体" w:eastAsia="宋体" w:cs="宋体"/>
                <w:vertAlign w:val="baseline"/>
                <w:lang w:eastAsia="zh-CN"/>
              </w:rPr>
            </w:pPr>
            <w:r>
              <w:rPr>
                <w:rFonts w:hint="eastAsia" w:ascii="宋体" w:hAnsi="宋体" w:eastAsia="宋体" w:cs="宋体"/>
                <w:vertAlign w:val="baseline"/>
                <w:lang w:eastAsia="zh-CN"/>
              </w:rPr>
              <w:t>新疆坤诚环境检测有限公司</w:t>
            </w:r>
          </w:p>
        </w:tc>
      </w:tr>
    </w:tbl>
    <w:p>
      <w:pPr>
        <w:jc w:val="both"/>
        <w:rPr>
          <w:rFonts w:hint="eastAsia"/>
          <w:b/>
          <w:bCs/>
          <w:sz w:val="28"/>
          <w:szCs w:val="28"/>
          <w:lang w:val="en-US" w:eastAsia="zh-CN"/>
        </w:rPr>
      </w:pPr>
    </w:p>
    <w:p>
      <w:pPr>
        <w:ind w:firstLine="2811" w:firstLineChars="1000"/>
        <w:jc w:val="both"/>
        <w:rPr>
          <w:rFonts w:hint="eastAsia"/>
          <w:b/>
          <w:bCs/>
          <w:sz w:val="28"/>
          <w:szCs w:val="28"/>
          <w:lang w:val="en-US" w:eastAsia="zh-CN"/>
        </w:rPr>
      </w:pPr>
      <w:r>
        <w:rPr>
          <w:rFonts w:hint="eastAsia"/>
          <w:b/>
          <w:bCs/>
          <w:sz w:val="28"/>
          <w:szCs w:val="28"/>
          <w:lang w:val="en-US" w:eastAsia="zh-CN"/>
        </w:rPr>
        <w:t>扬尘污染情况(涉气企业)</w:t>
      </w:r>
    </w:p>
    <w:tbl>
      <w:tblPr>
        <w:tblStyle w:val="3"/>
        <w:tblW w:w="7815" w:type="dxa"/>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8"/>
        <w:gridCol w:w="3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78" w:type="dxa"/>
          </w:tcPr>
          <w:p>
            <w:pPr>
              <w:jc w:val="both"/>
              <w:rPr>
                <w:rFonts w:hint="eastAsia" w:ascii="宋体" w:hAnsi="宋体" w:eastAsia="宋体" w:cs="宋体"/>
                <w:b/>
                <w:bCs/>
                <w:sz w:val="24"/>
                <w:szCs w:val="32"/>
                <w:vertAlign w:val="baseline"/>
                <w:lang w:val="en-US" w:eastAsia="zh-CN"/>
              </w:rPr>
            </w:pPr>
            <w:r>
              <w:rPr>
                <w:rFonts w:hint="eastAsia" w:ascii="宋体" w:hAnsi="宋体" w:eastAsia="宋体" w:cs="宋体"/>
                <w:b w:val="0"/>
                <w:bCs w:val="0"/>
                <w:sz w:val="21"/>
                <w:szCs w:val="21"/>
                <w:vertAlign w:val="baseline"/>
                <w:lang w:val="en-US" w:eastAsia="zh-CN"/>
              </w:rPr>
              <w:t>煤堆、煤渣、粉煤灰、飞灰堆放</w:t>
            </w:r>
            <w:r>
              <w:rPr>
                <w:rFonts w:hint="eastAsia" w:ascii="宋体" w:hAnsi="宋体" w:eastAsia="宋体" w:cs="宋体"/>
                <w:vertAlign w:val="baseline"/>
                <w:lang w:val="en-US" w:eastAsia="zh-CN"/>
              </w:rPr>
              <w:t>情况</w:t>
            </w:r>
          </w:p>
        </w:tc>
        <w:tc>
          <w:tcPr>
            <w:tcW w:w="3837" w:type="dxa"/>
          </w:tcPr>
          <w:p>
            <w:pPr>
              <w:jc w:val="both"/>
              <w:rPr>
                <w:rFonts w:hint="default"/>
                <w:b w:val="0"/>
                <w:bCs w:val="0"/>
                <w:sz w:val="24"/>
                <w:szCs w:val="32"/>
                <w:vertAlign w:val="baseline"/>
                <w:lang w:val="en-US" w:eastAsia="zh-CN"/>
              </w:rPr>
            </w:pPr>
            <w:r>
              <w:rPr>
                <w:rFonts w:hint="eastAsia"/>
                <w:b w:val="0"/>
                <w:bCs w:val="0"/>
                <w:sz w:val="24"/>
                <w:szCs w:val="32"/>
                <w:vertAlign w:val="baseline"/>
                <w:lang w:val="en-US" w:eastAsia="zh-CN"/>
              </w:rPr>
              <w:t>设有煤棚、硅石木片设有13米防风抑尘网并覆盖苫布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78" w:type="dxa"/>
          </w:tcPr>
          <w:p>
            <w:pPr>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装卸物料采取情况</w:t>
            </w:r>
          </w:p>
        </w:tc>
        <w:tc>
          <w:tcPr>
            <w:tcW w:w="3837" w:type="dxa"/>
          </w:tcPr>
          <w:p>
            <w:pPr>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水喷淋抑尘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78" w:type="dxa"/>
          </w:tcPr>
          <w:p>
            <w:pPr>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防治扬尘污染的主要措施</w:t>
            </w:r>
          </w:p>
        </w:tc>
        <w:tc>
          <w:tcPr>
            <w:tcW w:w="3837" w:type="dxa"/>
          </w:tcPr>
          <w:p>
            <w:pPr>
              <w:jc w:val="both"/>
              <w:rPr>
                <w:rFonts w:hint="eastAsia"/>
                <w:b w:val="0"/>
                <w:bCs w:val="0"/>
                <w:sz w:val="24"/>
                <w:szCs w:val="32"/>
                <w:vertAlign w:val="baseline"/>
                <w:lang w:val="en-US" w:eastAsia="zh-CN"/>
              </w:rPr>
            </w:pPr>
            <w:r>
              <w:rPr>
                <w:rFonts w:hint="eastAsia"/>
                <w:b w:val="0"/>
                <w:bCs w:val="0"/>
                <w:sz w:val="24"/>
                <w:szCs w:val="32"/>
                <w:vertAlign w:val="baseline"/>
                <w:lang w:val="en-US" w:eastAsia="zh-CN"/>
              </w:rPr>
              <w:t>防风抑尘网、苫布加水喷淋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78" w:type="dxa"/>
          </w:tcPr>
          <w:p>
            <w:pPr>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主要路面硬化情况(厂区内主干道)</w:t>
            </w:r>
          </w:p>
        </w:tc>
        <w:tc>
          <w:tcPr>
            <w:tcW w:w="3837" w:type="dxa"/>
          </w:tcPr>
          <w:p>
            <w:pPr>
              <w:jc w:val="both"/>
              <w:rPr>
                <w:rFonts w:hint="eastAsia"/>
                <w:b/>
                <w:bCs/>
                <w:sz w:val="24"/>
                <w:szCs w:val="32"/>
                <w:vertAlign w:val="baseline"/>
                <w:lang w:val="en-US" w:eastAsia="zh-CN"/>
              </w:rPr>
            </w:pPr>
            <w:r>
              <w:rPr>
                <w:rFonts w:hint="eastAsia"/>
                <w:b w:val="0"/>
                <w:bCs w:val="0"/>
                <w:sz w:val="24"/>
                <w:szCs w:val="32"/>
                <w:vertAlign w:val="baseline"/>
                <w:lang w:val="en-US" w:eastAsia="zh-CN"/>
              </w:rPr>
              <w:t>全部硬化</w:t>
            </w:r>
          </w:p>
        </w:tc>
      </w:tr>
    </w:tbl>
    <w:p>
      <w:pPr>
        <w:jc w:val="both"/>
        <w:rPr>
          <w:rFonts w:hint="eastAsia"/>
          <w:b/>
          <w:bCs/>
          <w:sz w:val="24"/>
          <w:szCs w:val="32"/>
          <w:lang w:val="en-US" w:eastAsia="zh-CN"/>
        </w:rPr>
      </w:pPr>
    </w:p>
    <w:p>
      <w:pPr>
        <w:jc w:val="center"/>
        <w:rPr>
          <w:rFonts w:hint="eastAsia"/>
          <w:b/>
          <w:bCs/>
          <w:sz w:val="28"/>
          <w:szCs w:val="28"/>
          <w:lang w:val="en-US" w:eastAsia="zh-CN"/>
        </w:rPr>
      </w:pPr>
      <w:r>
        <w:rPr>
          <w:rFonts w:hint="eastAsia"/>
          <w:b/>
          <w:bCs/>
          <w:sz w:val="28"/>
          <w:szCs w:val="28"/>
          <w:lang w:val="en-US" w:eastAsia="zh-CN"/>
        </w:rPr>
        <w:t>噪声排放情况</w:t>
      </w:r>
    </w:p>
    <w:tbl>
      <w:tblPr>
        <w:tblStyle w:val="3"/>
        <w:tblW w:w="7829"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2"/>
        <w:gridCol w:w="1918"/>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9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监测点位名称</w:t>
            </w:r>
          </w:p>
        </w:tc>
        <w:tc>
          <w:tcPr>
            <w:tcW w:w="3837" w:type="dxa"/>
            <w:gridSpan w:val="2"/>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厂界四周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92" w:type="dxa"/>
            <w:vMerge w:val="restart"/>
          </w:tcPr>
          <w:p>
            <w:pPr>
              <w:jc w:val="center"/>
              <w:rPr>
                <w:rFonts w:hint="eastAsia" w:ascii="宋体" w:hAnsi="宋体" w:eastAsia="宋体" w:cs="宋体"/>
                <w:b w:val="0"/>
                <w:bCs w:val="0"/>
                <w:sz w:val="21"/>
                <w:szCs w:val="21"/>
                <w:vertAlign w:val="baseline"/>
                <w:lang w:val="en-US" w:eastAsia="zh-CN"/>
              </w:rPr>
            </w:pPr>
          </w:p>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监测点位位置</w:t>
            </w:r>
          </w:p>
        </w:tc>
        <w:tc>
          <w:tcPr>
            <w:tcW w:w="3837" w:type="dxa"/>
            <w:gridSpan w:val="2"/>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1#厂区东侧1米处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92" w:type="dxa"/>
            <w:vMerge w:val="continue"/>
          </w:tcPr>
          <w:p>
            <w:pPr>
              <w:jc w:val="center"/>
              <w:rPr>
                <w:rFonts w:hint="eastAsia" w:ascii="宋体" w:hAnsi="宋体" w:eastAsia="宋体" w:cs="宋体"/>
                <w:b w:val="0"/>
                <w:bCs w:val="0"/>
                <w:sz w:val="21"/>
                <w:szCs w:val="21"/>
                <w:vertAlign w:val="baseline"/>
                <w:lang w:val="en-US" w:eastAsia="zh-CN"/>
              </w:rPr>
            </w:pPr>
          </w:p>
        </w:tc>
        <w:tc>
          <w:tcPr>
            <w:tcW w:w="3837" w:type="dxa"/>
            <w:gridSpan w:val="2"/>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2#厂区西侧1米处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92" w:type="dxa"/>
            <w:vMerge w:val="continue"/>
          </w:tcPr>
          <w:p>
            <w:pPr>
              <w:jc w:val="center"/>
              <w:rPr>
                <w:rFonts w:hint="eastAsia" w:ascii="宋体" w:hAnsi="宋体" w:eastAsia="宋体" w:cs="宋体"/>
                <w:b w:val="0"/>
                <w:bCs w:val="0"/>
                <w:sz w:val="21"/>
                <w:szCs w:val="21"/>
                <w:vertAlign w:val="baseline"/>
                <w:lang w:val="en-US" w:eastAsia="zh-CN"/>
              </w:rPr>
            </w:pPr>
          </w:p>
        </w:tc>
        <w:tc>
          <w:tcPr>
            <w:tcW w:w="3837" w:type="dxa"/>
            <w:gridSpan w:val="2"/>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3#厂区南侧1米处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92" w:type="dxa"/>
            <w:vMerge w:val="continue"/>
          </w:tcPr>
          <w:p>
            <w:pPr>
              <w:jc w:val="center"/>
              <w:rPr>
                <w:rFonts w:hint="eastAsia" w:ascii="宋体" w:hAnsi="宋体" w:eastAsia="宋体" w:cs="宋体"/>
                <w:b w:val="0"/>
                <w:bCs w:val="0"/>
                <w:sz w:val="21"/>
                <w:szCs w:val="21"/>
                <w:vertAlign w:val="baseline"/>
                <w:lang w:val="en-US" w:eastAsia="zh-CN"/>
              </w:rPr>
            </w:pPr>
          </w:p>
        </w:tc>
        <w:tc>
          <w:tcPr>
            <w:tcW w:w="3837" w:type="dxa"/>
            <w:gridSpan w:val="2"/>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4#厂区北侧1米处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9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执行标准</w:t>
            </w:r>
          </w:p>
        </w:tc>
        <w:tc>
          <w:tcPr>
            <w:tcW w:w="3837" w:type="dxa"/>
            <w:gridSpan w:val="2"/>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《工业企业噪声排放标准》（GB1234b-2008）3类标准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9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排放限值</w:t>
            </w:r>
          </w:p>
        </w:tc>
        <w:tc>
          <w:tcPr>
            <w:tcW w:w="1918" w:type="dxa"/>
            <w:vAlign w:val="top"/>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昼间：65db</w:t>
            </w:r>
          </w:p>
        </w:tc>
        <w:tc>
          <w:tcPr>
            <w:tcW w:w="1919" w:type="dxa"/>
            <w:vAlign w:val="top"/>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夜间：55db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92" w:type="dxa"/>
            <w:vMerge w:val="restart"/>
          </w:tcPr>
          <w:p>
            <w:pPr>
              <w:jc w:val="center"/>
              <w:rPr>
                <w:rFonts w:hint="eastAsia" w:ascii="宋体" w:hAnsi="宋体" w:eastAsia="宋体" w:cs="宋体"/>
                <w:b/>
                <w:bCs/>
                <w:sz w:val="24"/>
                <w:szCs w:val="32"/>
                <w:vertAlign w:val="baseline"/>
                <w:lang w:val="en-US" w:eastAsia="zh-CN"/>
              </w:rPr>
            </w:pPr>
          </w:p>
          <w:p>
            <w:pPr>
              <w:bidi w:val="0"/>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实际排放值</w:t>
            </w:r>
          </w:p>
        </w:tc>
        <w:tc>
          <w:tcPr>
            <w:tcW w:w="1918" w:type="dxa"/>
            <w:vAlign w:val="top"/>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1#昼间53.6db</w:t>
            </w:r>
          </w:p>
        </w:tc>
        <w:tc>
          <w:tcPr>
            <w:tcW w:w="1919" w:type="dxa"/>
            <w:vAlign w:val="top"/>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1#夜间43.3db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92" w:type="dxa"/>
            <w:vMerge w:val="continue"/>
          </w:tcPr>
          <w:p>
            <w:pPr>
              <w:jc w:val="both"/>
              <w:rPr>
                <w:rFonts w:hint="eastAsia"/>
                <w:b/>
                <w:bCs/>
                <w:sz w:val="24"/>
                <w:szCs w:val="32"/>
                <w:vertAlign w:val="baseline"/>
                <w:lang w:val="en-US" w:eastAsia="zh-CN"/>
              </w:rPr>
            </w:pPr>
          </w:p>
        </w:tc>
        <w:tc>
          <w:tcPr>
            <w:tcW w:w="1918" w:type="dxa"/>
            <w:vAlign w:val="top"/>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2#昼间55.9db</w:t>
            </w:r>
          </w:p>
        </w:tc>
        <w:tc>
          <w:tcPr>
            <w:tcW w:w="1919" w:type="dxa"/>
            <w:vAlign w:val="top"/>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2#夜间47.3db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92" w:type="dxa"/>
            <w:vMerge w:val="continue"/>
          </w:tcPr>
          <w:p>
            <w:pPr>
              <w:jc w:val="both"/>
              <w:rPr>
                <w:rFonts w:hint="eastAsia"/>
                <w:b/>
                <w:bCs/>
                <w:sz w:val="24"/>
                <w:szCs w:val="32"/>
                <w:vertAlign w:val="baseline"/>
                <w:lang w:val="en-US" w:eastAsia="zh-CN"/>
              </w:rPr>
            </w:pPr>
          </w:p>
        </w:tc>
        <w:tc>
          <w:tcPr>
            <w:tcW w:w="1918" w:type="dxa"/>
            <w:vAlign w:val="top"/>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3#昼间51.8db</w:t>
            </w:r>
          </w:p>
        </w:tc>
        <w:tc>
          <w:tcPr>
            <w:tcW w:w="1919" w:type="dxa"/>
            <w:vAlign w:val="top"/>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3#夜间45.8db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92" w:type="dxa"/>
            <w:vMerge w:val="continue"/>
          </w:tcPr>
          <w:p>
            <w:pPr>
              <w:jc w:val="both"/>
              <w:rPr>
                <w:rFonts w:hint="eastAsia"/>
                <w:b/>
                <w:bCs/>
                <w:sz w:val="24"/>
                <w:szCs w:val="32"/>
                <w:vertAlign w:val="baseline"/>
                <w:lang w:val="en-US" w:eastAsia="zh-CN"/>
              </w:rPr>
            </w:pPr>
          </w:p>
        </w:tc>
        <w:tc>
          <w:tcPr>
            <w:tcW w:w="1918" w:type="dxa"/>
            <w:vAlign w:val="top"/>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4#昼间54.7db</w:t>
            </w:r>
          </w:p>
        </w:tc>
        <w:tc>
          <w:tcPr>
            <w:tcW w:w="1919" w:type="dxa"/>
            <w:vAlign w:val="top"/>
          </w:tcPr>
          <w:p>
            <w:pPr>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4#夜间46.2db</w:t>
            </w:r>
          </w:p>
        </w:tc>
      </w:tr>
    </w:tbl>
    <w:p>
      <w:pPr>
        <w:jc w:val="both"/>
        <w:rPr>
          <w:rFonts w:hint="eastAsia"/>
          <w:b/>
          <w:bCs/>
          <w:sz w:val="24"/>
          <w:szCs w:val="32"/>
          <w:lang w:val="en-US" w:eastAsia="zh-CN"/>
        </w:rPr>
      </w:pPr>
    </w:p>
    <w:p>
      <w:pPr>
        <w:jc w:val="center"/>
        <w:rPr>
          <w:rFonts w:hint="eastAsia"/>
          <w:b/>
          <w:bCs/>
          <w:sz w:val="28"/>
          <w:szCs w:val="28"/>
          <w:lang w:val="en-US" w:eastAsia="zh-CN"/>
        </w:rPr>
      </w:pPr>
      <w:r>
        <w:rPr>
          <w:rFonts w:hint="eastAsia"/>
          <w:b/>
          <w:bCs/>
          <w:sz w:val="28"/>
          <w:szCs w:val="28"/>
          <w:lang w:val="en-US" w:eastAsia="zh-CN"/>
        </w:rPr>
        <w:t>工业固体废物的产生、贮存、流向和利用处置信息</w:t>
      </w:r>
    </w:p>
    <w:tbl>
      <w:tblPr>
        <w:tblStyle w:val="3"/>
        <w:tblW w:w="86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852"/>
        <w:gridCol w:w="3467"/>
        <w:gridCol w:w="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5" w:type="dxa"/>
        </w:trPr>
        <w:tc>
          <w:tcPr>
            <w:tcW w:w="8451" w:type="dxa"/>
            <w:gridSpan w:val="3"/>
          </w:tcPr>
          <w:p>
            <w:pPr>
              <w:jc w:val="center"/>
              <w:rPr>
                <w:rFonts w:hint="eastAsia"/>
                <w:b/>
                <w:bCs/>
                <w:sz w:val="21"/>
                <w:szCs w:val="21"/>
                <w:vertAlign w:val="baseline"/>
                <w:lang w:val="en-US" w:eastAsia="zh-CN"/>
              </w:rPr>
            </w:pPr>
            <w:r>
              <w:rPr>
                <w:rFonts w:hint="eastAsia" w:ascii="黑体" w:hAnsi="黑体" w:eastAsia="黑体" w:cs="黑体"/>
                <w:b/>
                <w:bCs/>
                <w:sz w:val="21"/>
                <w:szCs w:val="21"/>
                <w:vertAlign w:val="baseline"/>
                <w:lang w:val="en-US" w:eastAsia="zh-CN"/>
              </w:rPr>
              <w:t>一般工业固体废物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名称</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炉台副产物</w:t>
            </w:r>
          </w:p>
        </w:tc>
        <w:tc>
          <w:tcPr>
            <w:tcW w:w="3662" w:type="dxa"/>
            <w:gridSpan w:val="2"/>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微硅粉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种类</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炉渣</w:t>
            </w:r>
          </w:p>
        </w:tc>
        <w:tc>
          <w:tcPr>
            <w:tcW w:w="3662" w:type="dxa"/>
            <w:gridSpan w:val="2"/>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炉渣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成分</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主要成分SiO2</w:t>
            </w:r>
          </w:p>
        </w:tc>
        <w:tc>
          <w:tcPr>
            <w:tcW w:w="3662" w:type="dxa"/>
            <w:gridSpan w:val="2"/>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主要成分SiO2，其他</w:t>
            </w:r>
            <w:r>
              <w:rPr>
                <w:rFonts w:hint="eastAsia" w:ascii="宋体" w:hAnsi="宋体" w:eastAsia="宋体" w:cs="宋体"/>
                <w:b w:val="0"/>
                <w:bCs w:val="0"/>
                <w:i w:val="0"/>
                <w:caps w:val="0"/>
                <w:color w:val="333333"/>
                <w:spacing w:val="0"/>
                <w:sz w:val="21"/>
                <w:szCs w:val="21"/>
                <w:shd w:val="clear" w:fill="FFFFFF"/>
              </w:rPr>
              <w:t>Fe2O3、Al2O3、CaO、K2O、Na2O、MgO 、C等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等级(一类或二类一般工业固体废物）</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一类</w:t>
            </w:r>
          </w:p>
        </w:tc>
        <w:tc>
          <w:tcPr>
            <w:tcW w:w="3662" w:type="dxa"/>
            <w:gridSpan w:val="2"/>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eastAsia="zh-CN"/>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每日产生量</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80t</w:t>
            </w:r>
          </w:p>
        </w:tc>
        <w:tc>
          <w:tcPr>
            <w:tcW w:w="3662" w:type="dxa"/>
            <w:gridSpan w:val="2"/>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400t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每日贮存量</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80t</w:t>
            </w:r>
          </w:p>
        </w:tc>
        <w:tc>
          <w:tcPr>
            <w:tcW w:w="3662" w:type="dxa"/>
            <w:gridSpan w:val="2"/>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400t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累计贮存量</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23442.67t</w:t>
            </w:r>
          </w:p>
        </w:tc>
        <w:tc>
          <w:tcPr>
            <w:tcW w:w="3662" w:type="dxa"/>
            <w:gridSpan w:val="2"/>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124897.14t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利用处置方式</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销售</w:t>
            </w:r>
          </w:p>
        </w:tc>
        <w:tc>
          <w:tcPr>
            <w:tcW w:w="3662" w:type="dxa"/>
            <w:gridSpan w:val="2"/>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利用处置量</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23442.67t</w:t>
            </w:r>
          </w:p>
        </w:tc>
        <w:tc>
          <w:tcPr>
            <w:tcW w:w="3662" w:type="dxa"/>
            <w:gridSpan w:val="2"/>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124897.14t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贮存、处置场所名称</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绿渣堆场</w:t>
            </w:r>
          </w:p>
        </w:tc>
        <w:tc>
          <w:tcPr>
            <w:tcW w:w="3662" w:type="dxa"/>
            <w:gridSpan w:val="2"/>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加密罐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设施的类型(一类或二类)</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一类</w:t>
            </w:r>
          </w:p>
        </w:tc>
        <w:tc>
          <w:tcPr>
            <w:tcW w:w="3662" w:type="dxa"/>
            <w:gridSpan w:val="2"/>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贮存、处置场所面积</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800㎡</w:t>
            </w:r>
          </w:p>
        </w:tc>
        <w:tc>
          <w:tcPr>
            <w:tcW w:w="3662" w:type="dxa"/>
            <w:gridSpan w:val="2"/>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400m³，17座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贮存、处置场所经纬度坐标</w:t>
            </w:r>
          </w:p>
        </w:tc>
        <w:tc>
          <w:tcPr>
            <w:tcW w:w="2852" w:type="dxa"/>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89.0895°E</w:t>
            </w:r>
          </w:p>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44.6783°N</w:t>
            </w:r>
          </w:p>
        </w:tc>
        <w:tc>
          <w:tcPr>
            <w:tcW w:w="3662" w:type="dxa"/>
            <w:gridSpan w:val="2"/>
            <w:vAlign w:val="center"/>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89.0892°E</w:t>
            </w:r>
          </w:p>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eastAsia="zh-CN"/>
              </w:rPr>
              <w:t>44.6785°N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受托方名称</w:t>
            </w:r>
          </w:p>
        </w:tc>
        <w:tc>
          <w:tcPr>
            <w:tcW w:w="2852" w:type="dxa"/>
            <w:vAlign w:val="center"/>
          </w:tcPr>
          <w:p>
            <w:pPr>
              <w:jc w:val="center"/>
              <w:rPr>
                <w:rFonts w:hint="default"/>
                <w:b w:val="0"/>
                <w:bCs w:val="0"/>
                <w:sz w:val="24"/>
                <w:szCs w:val="32"/>
                <w:vertAlign w:val="baseline"/>
                <w:lang w:eastAsia="zh-CN"/>
              </w:rPr>
            </w:pPr>
            <w:r>
              <w:rPr>
                <w:rFonts w:hint="default"/>
                <w:b w:val="0"/>
                <w:bCs w:val="0"/>
                <w:sz w:val="24"/>
                <w:szCs w:val="32"/>
                <w:vertAlign w:val="baseline"/>
                <w:lang w:eastAsia="zh-CN"/>
              </w:rPr>
              <w:t>安阳市德晶冶金耐材有限公司</w:t>
            </w:r>
          </w:p>
        </w:tc>
        <w:tc>
          <w:tcPr>
            <w:tcW w:w="3662" w:type="dxa"/>
            <w:gridSpan w:val="2"/>
            <w:vAlign w:val="center"/>
          </w:tcPr>
          <w:p>
            <w:pPr>
              <w:jc w:val="center"/>
              <w:rPr>
                <w:rFonts w:hint="default"/>
                <w:b w:val="0"/>
                <w:bCs w:val="0"/>
                <w:sz w:val="24"/>
                <w:szCs w:val="32"/>
                <w:vertAlign w:val="baseline"/>
                <w:lang w:eastAsia="zh-CN"/>
              </w:rPr>
            </w:pPr>
            <w:r>
              <w:rPr>
                <w:rFonts w:hint="default"/>
                <w:b w:val="0"/>
                <w:bCs w:val="0"/>
                <w:sz w:val="24"/>
                <w:szCs w:val="32"/>
                <w:vertAlign w:val="baseline"/>
                <w:lang w:eastAsia="zh-CN"/>
              </w:rPr>
              <w:t>新疆神采东晟环保科技有限公司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一般工业固体废物运输、利用、处置情况</w:t>
            </w:r>
          </w:p>
        </w:tc>
        <w:tc>
          <w:tcPr>
            <w:tcW w:w="2852" w:type="dxa"/>
            <w:vAlign w:val="center"/>
          </w:tcPr>
          <w:p>
            <w:pPr>
              <w:jc w:val="center"/>
              <w:rPr>
                <w:rFonts w:hint="default"/>
                <w:b w:val="0"/>
                <w:bCs w:val="0"/>
                <w:sz w:val="24"/>
                <w:szCs w:val="32"/>
                <w:vertAlign w:val="baseline"/>
                <w:lang w:eastAsia="zh-CN"/>
              </w:rPr>
            </w:pPr>
            <w:r>
              <w:rPr>
                <w:rFonts w:hint="default"/>
                <w:b w:val="0"/>
                <w:bCs w:val="0"/>
                <w:sz w:val="24"/>
                <w:szCs w:val="32"/>
                <w:vertAlign w:val="baseline"/>
                <w:lang w:eastAsia="zh-CN"/>
              </w:rPr>
              <w:t>售于安阳市德晶冶金耐材有限公司，用于二次冶炼在加工。</w:t>
            </w:r>
          </w:p>
        </w:tc>
        <w:tc>
          <w:tcPr>
            <w:tcW w:w="3662" w:type="dxa"/>
            <w:gridSpan w:val="2"/>
            <w:vAlign w:val="center"/>
          </w:tcPr>
          <w:p>
            <w:pPr>
              <w:jc w:val="center"/>
              <w:rPr>
                <w:rFonts w:hint="default"/>
                <w:b w:val="0"/>
                <w:bCs w:val="0"/>
                <w:sz w:val="24"/>
                <w:szCs w:val="32"/>
                <w:vertAlign w:val="baseline"/>
                <w:lang w:eastAsia="zh-CN"/>
              </w:rPr>
            </w:pPr>
            <w:r>
              <w:rPr>
                <w:rFonts w:hint="default"/>
                <w:b w:val="0"/>
                <w:bCs w:val="0"/>
                <w:sz w:val="24"/>
                <w:szCs w:val="32"/>
                <w:vertAlign w:val="baseline"/>
                <w:lang w:eastAsia="zh-CN"/>
              </w:rPr>
              <w:t>委托新疆广蓝能源环保科技有限公司转运至新疆神采东晟环保科技有限公司集中填满处置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6" w:type="dxa"/>
            <w:gridSpan w:val="4"/>
          </w:tcPr>
          <w:p>
            <w:pPr>
              <w:jc w:val="center"/>
              <w:rPr>
                <w:rFonts w:hint="eastAsia"/>
                <w:b/>
                <w:bCs/>
                <w:sz w:val="24"/>
                <w:szCs w:val="32"/>
                <w:vertAlign w:val="baseline"/>
                <w:lang w:val="en-US" w:eastAsia="zh-CN"/>
              </w:rPr>
            </w:pPr>
            <w:r>
              <w:rPr>
                <w:rFonts w:hint="eastAsia" w:ascii="黑体" w:hAnsi="黑体" w:eastAsia="黑体" w:cs="黑体"/>
                <w:b/>
                <w:bCs/>
                <w:sz w:val="24"/>
                <w:szCs w:val="32"/>
                <w:vertAlign w:val="baseli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名称</w:t>
            </w:r>
          </w:p>
        </w:tc>
        <w:tc>
          <w:tcPr>
            <w:tcW w:w="6514" w:type="dxa"/>
            <w:gridSpan w:val="3"/>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eastAsia="zh-CN"/>
              </w:rPr>
              <w:t>废液压油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废物代码</w:t>
            </w:r>
          </w:p>
        </w:tc>
        <w:tc>
          <w:tcPr>
            <w:tcW w:w="6514" w:type="dxa"/>
            <w:gridSpan w:val="3"/>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eastAsia="zh-CN"/>
              </w:rPr>
              <w:t>HW08-900-218-08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主要有害成分</w:t>
            </w:r>
          </w:p>
        </w:tc>
        <w:tc>
          <w:tcPr>
            <w:tcW w:w="6514" w:type="dxa"/>
            <w:gridSpan w:val="3"/>
          </w:tcPr>
          <w:p>
            <w:pPr>
              <w:jc w:val="center"/>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危险特性</w:t>
            </w:r>
          </w:p>
        </w:tc>
        <w:tc>
          <w:tcPr>
            <w:tcW w:w="6514" w:type="dxa"/>
            <w:gridSpan w:val="3"/>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eastAsia="zh-CN"/>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累计贮存量</w:t>
            </w:r>
          </w:p>
        </w:tc>
        <w:tc>
          <w:tcPr>
            <w:tcW w:w="6514" w:type="dxa"/>
            <w:gridSpan w:val="3"/>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eastAsia="zh-CN"/>
              </w:rPr>
              <w:t>21t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利用处置方式</w:t>
            </w:r>
          </w:p>
        </w:tc>
        <w:tc>
          <w:tcPr>
            <w:tcW w:w="6514" w:type="dxa"/>
            <w:gridSpan w:val="3"/>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eastAsia="zh-CN"/>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利用处置量</w:t>
            </w:r>
          </w:p>
        </w:tc>
        <w:tc>
          <w:tcPr>
            <w:tcW w:w="6514" w:type="dxa"/>
            <w:gridSpan w:val="3"/>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color w:val="000000"/>
                <w:sz w:val="21"/>
                <w:szCs w:val="21"/>
              </w:rPr>
              <w:t>16.38t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贮存、处置场所名称</w:t>
            </w:r>
          </w:p>
        </w:tc>
        <w:tc>
          <w:tcPr>
            <w:tcW w:w="6514" w:type="dxa"/>
            <w:gridSpan w:val="3"/>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设施的类型</w:t>
            </w:r>
          </w:p>
        </w:tc>
        <w:tc>
          <w:tcPr>
            <w:tcW w:w="6514" w:type="dxa"/>
            <w:gridSpan w:val="3"/>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eastAsia="zh-CN"/>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贮存、处置场所面积</w:t>
            </w:r>
          </w:p>
        </w:tc>
        <w:tc>
          <w:tcPr>
            <w:tcW w:w="6514" w:type="dxa"/>
            <w:gridSpan w:val="3"/>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eastAsia="zh-CN"/>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贮存、处置场所经纬度坐标</w:t>
            </w:r>
          </w:p>
        </w:tc>
        <w:tc>
          <w:tcPr>
            <w:tcW w:w="6514" w:type="dxa"/>
            <w:gridSpan w:val="3"/>
          </w:tcPr>
          <w:p>
            <w:pPr>
              <w:jc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sz w:val="21"/>
                <w:szCs w:val="21"/>
                <w:vertAlign w:val="baseline"/>
                <w:lang w:eastAsia="zh-CN"/>
              </w:rPr>
              <w:t>89.0895°E</w:t>
            </w:r>
          </w:p>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eastAsia="zh-CN"/>
              </w:rPr>
              <w:t>44.6783°N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受托方名称</w:t>
            </w:r>
          </w:p>
        </w:tc>
        <w:tc>
          <w:tcPr>
            <w:tcW w:w="6514" w:type="dxa"/>
            <w:gridSpan w:val="3"/>
          </w:tcPr>
          <w:p>
            <w:pPr>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承运单位：乌鲁木齐凤飞危险品运输有限公司</w:t>
            </w:r>
          </w:p>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color w:val="000000"/>
                <w:sz w:val="21"/>
                <w:szCs w:val="21"/>
              </w:rPr>
              <w:t>接收单位：新疆海克新能源科技有限公司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32" w:type="dxa"/>
            <w:vAlign w:val="center"/>
          </w:tcPr>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危险废物转移联单</w:t>
            </w:r>
          </w:p>
        </w:tc>
        <w:tc>
          <w:tcPr>
            <w:tcW w:w="6514" w:type="dxa"/>
            <w:gridSpan w:val="3"/>
            <w:vAlign w:val="center"/>
          </w:tcPr>
          <w:p>
            <w:pPr>
              <w:spacing w:line="240" w:lineRule="auto"/>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编号：20226523020398</w:t>
            </w:r>
          </w:p>
        </w:tc>
      </w:tr>
    </w:tbl>
    <w:p>
      <w:pPr>
        <w:jc w:val="both"/>
        <w:rPr>
          <w:rFonts w:hint="eastAsia" w:ascii="宋体" w:hAnsi="宋体" w:eastAsia="宋体" w:cs="宋体"/>
          <w:b/>
          <w:bCs/>
          <w:sz w:val="24"/>
          <w:szCs w:val="32"/>
          <w:lang w:val="en-US" w:eastAsia="zh-CN"/>
        </w:rPr>
      </w:pPr>
    </w:p>
    <w:p>
      <w:pPr>
        <w:jc w:val="both"/>
        <w:rPr>
          <w:rFonts w:hint="eastAsia"/>
          <w:b/>
          <w:bCs/>
          <w:sz w:val="24"/>
          <w:szCs w:val="32"/>
          <w:lang w:val="en-US" w:eastAsia="zh-CN"/>
        </w:rPr>
      </w:pPr>
    </w:p>
    <w:p>
      <w:pPr>
        <w:numPr>
          <w:ilvl w:val="0"/>
          <w:numId w:val="0"/>
        </w:numPr>
        <w:rPr>
          <w:rFonts w:hint="default" w:ascii="黑体" w:hAnsi="黑体" w:eastAsia="黑体" w:cs="黑体"/>
          <w:b w:val="0"/>
          <w:bCs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36304E"/>
    <w:multiLevelType w:val="singleLevel"/>
    <w:tmpl w:val="B736304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ViZmQ1NjA5MmFjMTdmMzgwZmMzMWQwYTk3MTJmMDUifQ=="/>
  </w:docVars>
  <w:rsids>
    <w:rsidRoot w:val="00000000"/>
    <w:rsid w:val="009F6920"/>
    <w:rsid w:val="02ED7EC0"/>
    <w:rsid w:val="04AF6273"/>
    <w:rsid w:val="053C6EDC"/>
    <w:rsid w:val="08B8356D"/>
    <w:rsid w:val="17771040"/>
    <w:rsid w:val="182D3D5F"/>
    <w:rsid w:val="1AA91F31"/>
    <w:rsid w:val="20CC358C"/>
    <w:rsid w:val="21851F34"/>
    <w:rsid w:val="2BB67139"/>
    <w:rsid w:val="2BDF3682"/>
    <w:rsid w:val="32464A4D"/>
    <w:rsid w:val="33423060"/>
    <w:rsid w:val="334D2131"/>
    <w:rsid w:val="3578A688"/>
    <w:rsid w:val="376F0C5F"/>
    <w:rsid w:val="3B8561E0"/>
    <w:rsid w:val="3DF7BD46"/>
    <w:rsid w:val="402D7572"/>
    <w:rsid w:val="41670862"/>
    <w:rsid w:val="44D73F50"/>
    <w:rsid w:val="49454795"/>
    <w:rsid w:val="518201ED"/>
    <w:rsid w:val="51B3364F"/>
    <w:rsid w:val="56D4345D"/>
    <w:rsid w:val="573F47D9"/>
    <w:rsid w:val="58D65FE6"/>
    <w:rsid w:val="5CDA4FC6"/>
    <w:rsid w:val="5D6860BE"/>
    <w:rsid w:val="5E2C6599"/>
    <w:rsid w:val="5E7FE78C"/>
    <w:rsid w:val="61D513C0"/>
    <w:rsid w:val="65CB4FB4"/>
    <w:rsid w:val="708F573A"/>
    <w:rsid w:val="7AC06311"/>
    <w:rsid w:val="7D3923AB"/>
    <w:rsid w:val="7D6E72CA"/>
    <w:rsid w:val="88FFEFD1"/>
    <w:rsid w:val="B77F0951"/>
    <w:rsid w:val="B97F5254"/>
    <w:rsid w:val="BEFFA6DA"/>
    <w:rsid w:val="F3FC86E6"/>
    <w:rsid w:val="F9FADDD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Pages>
  <Words>2265</Words>
  <Characters>2802</Characters>
  <Lines>0</Lines>
  <Paragraphs>0</Paragraphs>
  <TotalTime>1</TotalTime>
  <ScaleCrop>false</ScaleCrop>
  <LinksUpToDate>false</LinksUpToDate>
  <CharactersWithSpaces>2984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2022-12-15T00:41:00Z</dcterms:created>
  <dc:creator>Administrator</dc:creator>
  <cp:lastModifiedBy>大树</cp:lastModifiedBy>
  <dcterms:modified xsi:type="dcterms:W3CDTF">2022-12-19T08:25:24Z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0B1C01BDE61D4505A7EEC16B31451808</vt:lpwstr>
  </property>
</Properties>
</file>