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p>
    <w:p>
      <w:pPr>
        <w:rPr>
          <w:rFonts w:hint="eastAsia"/>
          <w:lang w:val="en-US" w:eastAsia="zh-CN"/>
        </w:rPr>
      </w:pPr>
    </w:p>
    <w:p>
      <w:pPr>
        <w:ind w:firstLine="2200" w:firstLineChars="5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企业环境信息依法披露</w:t>
      </w:r>
    </w:p>
    <w:p>
      <w:pPr>
        <w:ind w:firstLine="3080" w:firstLineChars="7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2022年度报告</w:t>
      </w: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6"/>
          <w:szCs w:val="36"/>
          <w:lang w:val="en-US" w:eastAsia="zh-CN"/>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ind w:firstLine="960" w:firstLineChars="300"/>
        <w:rPr>
          <w:rFonts w:hint="eastAsia" w:ascii="宋体" w:hAnsi="宋体" w:eastAsia="宋体" w:cs="宋体"/>
          <w:sz w:val="36"/>
          <w:szCs w:val="36"/>
          <w:lang w:val="en-US" w:eastAsia="zh-CN"/>
        </w:rPr>
      </w:pPr>
      <w:r>
        <w:rPr>
          <w:rFonts w:hint="eastAsia" w:ascii="宋体" w:hAnsi="宋体" w:eastAsia="宋体" w:cs="宋体"/>
          <w:sz w:val="32"/>
          <w:szCs w:val="32"/>
          <w:lang w:val="en-US" w:eastAsia="zh-CN"/>
        </w:rPr>
        <w:t>企业名称</w:t>
      </w:r>
      <w:r>
        <w:rPr>
          <w:rFonts w:hint="eastAsia" w:ascii="宋体" w:hAnsi="宋体" w:eastAsia="宋体" w:cs="宋体"/>
          <w:sz w:val="36"/>
          <w:szCs w:val="36"/>
          <w:lang w:val="en-US" w:eastAsia="zh-CN"/>
        </w:rPr>
        <w:t>：</w:t>
      </w:r>
      <w:r>
        <w:rPr>
          <w:rFonts w:hint="eastAsia" w:ascii="宋体" w:hAnsi="宋体" w:eastAsia="宋体" w:cs="宋体"/>
          <w:sz w:val="32"/>
          <w:szCs w:val="32"/>
          <w:lang w:val="en-US" w:eastAsia="zh-CN"/>
        </w:rPr>
        <w:t>新疆准东金盆湾水林有限公司</w:t>
      </w:r>
    </w:p>
    <w:p>
      <w:pPr>
        <w:ind w:firstLine="960" w:firstLineChars="300"/>
        <w:rPr>
          <w:rFonts w:hint="eastAsia" w:ascii="宋体" w:hAnsi="宋体" w:eastAsia="宋体" w:cs="宋体"/>
          <w:sz w:val="32"/>
          <w:szCs w:val="32"/>
          <w:lang w:val="en-US" w:eastAsia="zh-CN"/>
        </w:rPr>
      </w:pPr>
    </w:p>
    <w:p>
      <w:pPr>
        <w:ind w:firstLine="960" w:firstLineChars="300"/>
        <w:rPr>
          <w:rFonts w:hint="eastAsia" w:ascii="宋体" w:hAnsi="宋体" w:eastAsia="宋体" w:cs="宋体"/>
          <w:sz w:val="36"/>
          <w:szCs w:val="36"/>
          <w:lang w:val="en-US" w:eastAsia="zh-CN"/>
        </w:rPr>
      </w:pPr>
      <w:r>
        <w:rPr>
          <w:rFonts w:hint="eastAsia" w:ascii="宋体" w:hAnsi="宋体" w:eastAsia="宋体" w:cs="宋体"/>
          <w:sz w:val="32"/>
          <w:szCs w:val="32"/>
          <w:lang w:val="en-US" w:eastAsia="zh-CN"/>
        </w:rPr>
        <w:t>统一社会信用代码</w:t>
      </w:r>
      <w:r>
        <w:rPr>
          <w:rFonts w:hint="eastAsia" w:ascii="宋体" w:hAnsi="宋体" w:eastAsia="宋体" w:cs="宋体"/>
          <w:sz w:val="36"/>
          <w:szCs w:val="36"/>
          <w:lang w:val="en-US" w:eastAsia="zh-CN"/>
        </w:rPr>
        <w:t>：</w:t>
      </w:r>
      <w:r>
        <w:rPr>
          <w:rFonts w:hint="eastAsia" w:ascii="宋体" w:hAnsi="宋体" w:eastAsia="宋体" w:cs="宋体"/>
          <w:sz w:val="32"/>
          <w:szCs w:val="32"/>
          <w:lang w:val="en-US" w:eastAsia="zh-CN"/>
        </w:rPr>
        <w:t>91652300MA77HAF953</w:t>
      </w:r>
    </w:p>
    <w:p>
      <w:pPr>
        <w:ind w:firstLine="960" w:firstLineChars="300"/>
        <w:rPr>
          <w:rFonts w:hint="eastAsia" w:ascii="宋体" w:hAnsi="宋体" w:eastAsia="宋体" w:cs="宋体"/>
          <w:sz w:val="32"/>
          <w:szCs w:val="32"/>
          <w:lang w:val="en-US" w:eastAsia="zh-CN"/>
        </w:rPr>
      </w:pPr>
    </w:p>
    <w:p>
      <w:pPr>
        <w:ind w:firstLine="960" w:firstLineChars="300"/>
        <w:rPr>
          <w:rFonts w:hint="default" w:ascii="宋体" w:hAnsi="宋体" w:eastAsia="宋体" w:cs="宋体"/>
          <w:sz w:val="36"/>
          <w:szCs w:val="36"/>
          <w:lang w:val="en-US" w:eastAsia="zh-CN"/>
        </w:rPr>
      </w:pPr>
      <w:r>
        <w:rPr>
          <w:rFonts w:hint="eastAsia" w:ascii="宋体" w:hAnsi="宋体" w:eastAsia="宋体" w:cs="宋体"/>
          <w:sz w:val="32"/>
          <w:szCs w:val="32"/>
          <w:lang w:val="en-US" w:eastAsia="zh-CN"/>
        </w:rPr>
        <w:t>编制日期</w:t>
      </w:r>
      <w:r>
        <w:rPr>
          <w:rFonts w:hint="eastAsia" w:ascii="宋体" w:hAnsi="宋体" w:eastAsia="宋体" w:cs="宋体"/>
          <w:sz w:val="36"/>
          <w:szCs w:val="36"/>
          <w:lang w:val="en-US" w:eastAsia="zh-CN"/>
        </w:rPr>
        <w:t>：</w:t>
      </w:r>
      <w:r>
        <w:rPr>
          <w:rFonts w:hint="eastAsia" w:ascii="宋体" w:hAnsi="宋体" w:eastAsia="宋体" w:cs="宋体"/>
          <w:sz w:val="32"/>
          <w:szCs w:val="32"/>
          <w:lang w:val="en-US" w:eastAsia="zh-CN"/>
        </w:rPr>
        <w:t>2022年12月14日</w:t>
      </w:r>
      <w:bookmarkStart w:id="0" w:name="_GoBack"/>
      <w:bookmarkEnd w:id="0"/>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ind w:firstLine="1080" w:firstLineChars="300"/>
        <w:rPr>
          <w:rFonts w:hint="eastAsia" w:ascii="宋体" w:hAnsi="宋体" w:eastAsia="宋体" w:cs="宋体"/>
          <w:sz w:val="36"/>
          <w:szCs w:val="36"/>
          <w:lang w:val="en-US" w:eastAsia="zh-CN"/>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drawing>
          <wp:inline distT="0" distB="0" distL="114300" distR="114300">
            <wp:extent cx="5393690" cy="8291195"/>
            <wp:effectExtent l="0" t="0" r="16510" b="14605"/>
            <wp:docPr id="3" name="图片 3" descr="冲冲冲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冲冲冲_1"/>
                    <pic:cNvPicPr>
                      <a:picLocks noChangeAspect="1"/>
                    </pic:cNvPicPr>
                  </pic:nvPicPr>
                  <pic:blipFill>
                    <a:blip r:embed="rId4"/>
                    <a:stretch>
                      <a:fillRect/>
                    </a:stretch>
                  </pic:blipFill>
                  <pic:spPr>
                    <a:xfrm>
                      <a:off x="0" y="0"/>
                      <a:ext cx="5393690" cy="8291195"/>
                    </a:xfrm>
                    <a:prstGeom prst="rect">
                      <a:avLst/>
                    </a:prstGeom>
                  </pic:spPr>
                </pic:pic>
              </a:graphicData>
            </a:graphic>
          </wp:inline>
        </w:drawing>
      </w:r>
    </w:p>
    <w:p>
      <w:pPr>
        <w:ind w:firstLine="2209" w:firstLineChars="500"/>
        <w:rPr>
          <w:rFonts w:hint="eastAsia" w:ascii="宋体" w:hAnsi="宋体" w:eastAsia="宋体" w:cs="宋体"/>
          <w:b/>
          <w:bCs/>
          <w:sz w:val="44"/>
          <w:szCs w:val="44"/>
          <w:lang w:val="en-US" w:eastAsia="zh-CN"/>
        </w:rPr>
      </w:pPr>
    </w:p>
    <w:p>
      <w:pPr>
        <w:ind w:firstLine="2209" w:firstLineChars="5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关键环境信息摘要</w:t>
      </w:r>
    </w:p>
    <w:p>
      <w:pPr>
        <w:rPr>
          <w:rFonts w:hint="eastAsia" w:ascii="宋体" w:hAnsi="宋体" w:eastAsia="宋体" w:cs="宋体"/>
          <w:sz w:val="36"/>
          <w:szCs w:val="36"/>
          <w:lang w:val="en-US" w:eastAsia="zh-CN"/>
        </w:rPr>
      </w:pPr>
      <w:r>
        <w:rPr>
          <w:rFonts w:hint="eastAsia" w:ascii="黑体" w:hAnsi="黑体" w:eastAsia="黑体" w:cs="黑体"/>
          <w:sz w:val="32"/>
          <w:szCs w:val="32"/>
          <w:lang w:val="en-US" w:eastAsia="zh-CN"/>
        </w:rPr>
        <w:t>一、企业遵守生态环境法律法规情况</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公司在生产经营过程中严格遵守《中华人民共和国环境保护法》、《中华人民共和国环境影响评价法》、《中华人民共和国大气污染防治法》、《中华人民共和国水污染防治法》、《中华人民共和国固体废物污染环境防治法》、《中华人民共和国噪声污染防治法》、《建设项目环境保护管理条例》、《排污许可管理条例》、《企业环境信息依法披露管理办法》、《企事业单位环境信息公开办法》。</w:t>
      </w:r>
    </w:p>
    <w:p>
      <w:pPr>
        <w:numPr>
          <w:ilvl w:val="0"/>
          <w:numId w:val="1"/>
        </w:numPr>
        <w:rPr>
          <w:rFonts w:hint="eastAsia" w:ascii="宋体" w:hAnsi="宋体" w:eastAsia="宋体" w:cs="宋体"/>
          <w:sz w:val="36"/>
          <w:szCs w:val="36"/>
          <w:lang w:val="en-US" w:eastAsia="zh-CN"/>
        </w:rPr>
      </w:pPr>
      <w:r>
        <w:rPr>
          <w:rFonts w:hint="eastAsia" w:ascii="黑体" w:hAnsi="黑体" w:eastAsia="黑体" w:cs="黑体"/>
          <w:sz w:val="32"/>
          <w:szCs w:val="32"/>
          <w:lang w:val="en-US" w:eastAsia="zh-CN"/>
        </w:rPr>
        <w:t>生态环境行政许可变更情况</w:t>
      </w:r>
    </w:p>
    <w:p>
      <w:pPr>
        <w:ind w:firstLine="640" w:firstLineChars="200"/>
        <w:rPr>
          <w:rFonts w:hint="default" w:ascii="黑体" w:hAnsi="黑体" w:eastAsia="黑体" w:cs="黑体"/>
          <w:b w:val="0"/>
          <w:bCs w:val="0"/>
          <w:sz w:val="32"/>
          <w:szCs w:val="32"/>
          <w:lang w:val="en-US" w:eastAsia="zh-CN"/>
        </w:rPr>
      </w:pPr>
      <w:r>
        <w:rPr>
          <w:rFonts w:hint="eastAsia" w:ascii="宋体" w:hAnsi="宋体" w:eastAsia="宋体" w:cs="宋体"/>
          <w:sz w:val="32"/>
          <w:szCs w:val="32"/>
          <w:lang w:val="en-US" w:eastAsia="zh-CN"/>
        </w:rPr>
        <w:t>污水处理厂于2012年7月30日通过了《五彩湾生产服务区污水处理厂项目立项》的批复建设，2017年5月6日通过了《新疆准东经济技术开发区五彩湾生产服务区污水处理厂新增一体化污水处理设施及中水回用池项目环境影响报告表》的批复，在2019年12月24日通过了《新疆准东经济技术开发区五彩湾生产服务区污水处理厂提标改造工程评价报告表》的批复，在2022年6月29日通过了《新疆准东经济技术开发区五彩湾生产服务区污水处理厂危废暂存间建设项目环境影响报告表》的批复。</w:t>
      </w:r>
    </w:p>
    <w:p>
      <w:pPr>
        <w:numPr>
          <w:ilvl w:val="0"/>
          <w:numId w:val="1"/>
        </w:numPr>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污染物排放情况</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污水处理厂全年处理污水58万方，处理合格的中水夏季用于绿化，冬季用于生态湿地补充，工业固体废物产生量为474吨，危险废物产生量为0.73吨，全部委托具有相关资质的公司处置。</w:t>
      </w:r>
    </w:p>
    <w:p>
      <w:pPr>
        <w:numPr>
          <w:ilvl w:val="0"/>
          <w:numId w:val="0"/>
        </w:numPr>
        <w:ind w:leftChars="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p>
    <w:p>
      <w:pPr>
        <w:numPr>
          <w:ilvl w:val="0"/>
          <w:numId w:val="0"/>
        </w:numPr>
        <w:ind w:leftChars="0" w:firstLine="3200" w:firstLineChars="10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企业基本信息</w:t>
      </w:r>
    </w:p>
    <w:tbl>
      <w:tblPr>
        <w:tblStyle w:val="3"/>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250"/>
        <w:gridCol w:w="244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企业名称</w:t>
            </w:r>
          </w:p>
        </w:tc>
        <w:tc>
          <w:tcPr>
            <w:tcW w:w="2250"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新疆准东金盆湾水林有限公司</w:t>
            </w:r>
          </w:p>
        </w:tc>
        <w:tc>
          <w:tcPr>
            <w:tcW w:w="2445" w:type="dxa"/>
          </w:tcPr>
          <w:p>
            <w:pPr>
              <w:numPr>
                <w:ilvl w:val="0"/>
                <w:numId w:val="0"/>
              </w:numPr>
              <w:jc w:val="center"/>
              <w:rPr>
                <w:rFonts w:hint="eastAsia" w:ascii="黑体" w:hAnsi="黑体" w:eastAsia="黑体" w:cs="黑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法定代表人</w:t>
            </w:r>
          </w:p>
        </w:tc>
        <w:tc>
          <w:tcPr>
            <w:tcW w:w="1905" w:type="dxa"/>
          </w:tcPr>
          <w:p>
            <w:pPr>
              <w:numPr>
                <w:ilvl w:val="0"/>
                <w:numId w:val="0"/>
              </w:numPr>
              <w:rPr>
                <w:rFonts w:hint="eastAsia"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陈江伟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注册地址</w:t>
            </w:r>
          </w:p>
        </w:tc>
        <w:tc>
          <w:tcPr>
            <w:tcW w:w="2250"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新疆昌吉州准东经济技术开发区彩中产业园创新路9号（彩中产业园）</w:t>
            </w:r>
          </w:p>
        </w:tc>
        <w:tc>
          <w:tcPr>
            <w:tcW w:w="2445"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生产地址</w:t>
            </w:r>
          </w:p>
        </w:tc>
        <w:tc>
          <w:tcPr>
            <w:tcW w:w="1905" w:type="dxa"/>
          </w:tcPr>
          <w:p>
            <w:pPr>
              <w:numPr>
                <w:ilvl w:val="0"/>
                <w:numId w:val="0"/>
              </w:numPr>
              <w:rPr>
                <w:rFonts w:hint="eastAsia"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新疆昌吉州准东经济技术开发区准东大道14号（彩中产业园）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行业类别</w:t>
            </w:r>
          </w:p>
        </w:tc>
        <w:tc>
          <w:tcPr>
            <w:tcW w:w="2250"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污水处理及再生利用</w:t>
            </w:r>
          </w:p>
        </w:tc>
        <w:tc>
          <w:tcPr>
            <w:tcW w:w="2445"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企业性质</w:t>
            </w:r>
          </w:p>
        </w:tc>
        <w:tc>
          <w:tcPr>
            <w:tcW w:w="1905" w:type="dxa"/>
          </w:tcPr>
          <w:p>
            <w:pPr>
              <w:numPr>
                <w:ilvl w:val="0"/>
                <w:numId w:val="0"/>
              </w:num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企业联系人</w:t>
            </w:r>
          </w:p>
        </w:tc>
        <w:tc>
          <w:tcPr>
            <w:tcW w:w="2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陈江伟</w:t>
            </w:r>
          </w:p>
        </w:tc>
        <w:tc>
          <w:tcPr>
            <w:tcW w:w="24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联系方式</w:t>
            </w:r>
          </w:p>
        </w:tc>
        <w:tc>
          <w:tcPr>
            <w:tcW w:w="1905" w:type="dxa"/>
          </w:tcPr>
          <w:p>
            <w:pPr>
              <w:numPr>
                <w:ilvl w:val="0"/>
                <w:numId w:val="0"/>
              </w:num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17699169882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是否重点排污单位</w:t>
            </w:r>
          </w:p>
        </w:tc>
        <w:tc>
          <w:tcPr>
            <w:tcW w:w="2250"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w:t>
            </w:r>
          </w:p>
        </w:tc>
        <w:tc>
          <w:tcPr>
            <w:tcW w:w="2445"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是否实施强制性清洁生产审核的企业</w:t>
            </w:r>
          </w:p>
        </w:tc>
        <w:tc>
          <w:tcPr>
            <w:tcW w:w="1905" w:type="dxa"/>
          </w:tcPr>
          <w:p>
            <w:pPr>
              <w:numPr>
                <w:ilvl w:val="0"/>
                <w:numId w:val="0"/>
              </w:num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01"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产品与服务</w:t>
            </w:r>
          </w:p>
        </w:tc>
        <w:tc>
          <w:tcPr>
            <w:tcW w:w="2250"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中水回用</w:t>
            </w:r>
          </w:p>
        </w:tc>
        <w:tc>
          <w:tcPr>
            <w:tcW w:w="244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生产工艺的名称</w:t>
            </w:r>
          </w:p>
        </w:tc>
        <w:tc>
          <w:tcPr>
            <w:tcW w:w="1905" w:type="dxa"/>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宋体" w:hAnsi="宋体" w:eastAsia="宋体" w:cs="宋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AAO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801" w:type="dxa"/>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生产工艺情况</w:t>
            </w:r>
          </w:p>
        </w:tc>
        <w:tc>
          <w:tcPr>
            <w:tcW w:w="6600" w:type="dxa"/>
            <w:gridSpan w:val="3"/>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宋体" w:hAnsi="宋体" w:eastAsia="宋体" w:cs="宋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污水处理厂2019年由CASS工艺技术升级改造为AAO+深度处理工艺，出水为一级A标准，处理达标后的中水夏季用于绿化，冬季用于生态湿地补充。</w:t>
            </w:r>
          </w:p>
        </w:tc>
      </w:tr>
    </w:tbl>
    <w:p>
      <w:pPr>
        <w:numPr>
          <w:ilvl w:val="0"/>
          <w:numId w:val="0"/>
        </w:numPr>
        <w:ind w:firstLine="2880" w:firstLineChars="900"/>
        <w:rPr>
          <w:rFonts w:hint="eastAsia" w:ascii="黑体" w:hAnsi="黑体" w:eastAsia="黑体" w:cs="黑体"/>
          <w:b w:val="0"/>
          <w:bCs w:val="0"/>
          <w:sz w:val="32"/>
          <w:szCs w:val="32"/>
          <w:lang w:val="en-US" w:eastAsia="zh-CN"/>
        </w:rPr>
      </w:pPr>
    </w:p>
    <w:p>
      <w:pPr>
        <w:numPr>
          <w:ilvl w:val="0"/>
          <w:numId w:val="0"/>
        </w:numPr>
        <w:ind w:firstLine="2880" w:firstLineChars="9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企业环境管理信息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许可名称</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获得许可的审批文件</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核发机关</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获取时间</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建设项目环境影响评价</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关于《新疆准东经济技术开发区五彩湾生产服务区污水处理厂危废暂存间建设项目环境影响报告表》的批复</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新疆准东经济技术开发区环境保护局</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2022年6月29日</w:t>
            </w:r>
          </w:p>
        </w:tc>
        <w:tc>
          <w:tcPr>
            <w:tcW w:w="1705" w:type="dxa"/>
          </w:tcPr>
          <w:p>
            <w:pPr>
              <w:numPr>
                <w:ilvl w:val="0"/>
                <w:numId w:val="0"/>
              </w:numPr>
              <w:jc w:val="center"/>
              <w:rPr>
                <w:rFonts w:hint="eastAsia" w:ascii="黑体" w:hAnsi="黑体" w:eastAsia="黑体" w:cs="黑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排污许可</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昌吉回族自治州环境保护局</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2019年7月5日</w:t>
            </w:r>
          </w:p>
        </w:tc>
        <w:tc>
          <w:tcPr>
            <w:tcW w:w="1705" w:type="dxa"/>
          </w:tcPr>
          <w:p>
            <w:pPr>
              <w:numPr>
                <w:ilvl w:val="0"/>
                <w:numId w:val="0"/>
              </w:numPr>
              <w:jc w:val="center"/>
              <w:rPr>
                <w:rFonts w:hint="default"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2024年</w:t>
            </w:r>
            <w:r>
              <w:rPr>
                <w:rFonts w:hint="eastAsia" w:ascii="宋体" w:hAnsi="宋体" w:eastAsia="宋体" w:cs="宋体"/>
                <w:b w:val="0"/>
                <w:bCs w:val="0"/>
                <w:sz w:val="21"/>
                <w:szCs w:val="21"/>
                <w:vertAlign w:val="baseline"/>
                <w:lang w:val="en-US" w:eastAsia="zh-CN"/>
              </w:rPr>
              <w:t>7月5日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突发环境事件应急预案</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652327-2021-09-L</w:t>
            </w:r>
          </w:p>
        </w:tc>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新疆准东经济技术开发区环境保护局</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2022.3.1</w:t>
            </w:r>
          </w:p>
        </w:tc>
        <w:tc>
          <w:tcPr>
            <w:tcW w:w="1705" w:type="dxa"/>
          </w:tcPr>
          <w:p>
            <w:pPr>
              <w:numPr>
                <w:ilvl w:val="0"/>
                <w:numId w:val="0"/>
              </w:numPr>
              <w:jc w:val="center"/>
              <w:rPr>
                <w:rFonts w:hint="eastAsia" w:ascii="黑体" w:hAnsi="黑体" w:eastAsia="黑体" w:cs="黑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主要许可事项</w:t>
            </w:r>
          </w:p>
        </w:tc>
        <w:tc>
          <w:tcPr>
            <w:tcW w:w="6818" w:type="dxa"/>
            <w:gridSpan w:val="4"/>
          </w:tcPr>
          <w:p>
            <w:pPr>
              <w:numPr>
                <w:ilvl w:val="0"/>
                <w:numId w:val="0"/>
              </w:numPr>
              <w:rPr>
                <w:rFonts w:hint="eastAsia" w:ascii="黑体" w:hAnsi="黑体" w:eastAsia="黑体" w:cs="黑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污水处理及再生利用</w:t>
            </w:r>
          </w:p>
        </w:tc>
      </w:tr>
    </w:tbl>
    <w:p>
      <w:pPr>
        <w:numPr>
          <w:ilvl w:val="0"/>
          <w:numId w:val="0"/>
        </w:numPr>
        <w:rPr>
          <w:rFonts w:hint="eastAsia" w:ascii="黑体" w:hAnsi="黑体" w:eastAsia="黑体" w:cs="黑体"/>
          <w:b w:val="0"/>
          <w:bCs w:val="0"/>
          <w:sz w:val="28"/>
          <w:szCs w:val="28"/>
          <w:lang w:val="en-US" w:eastAsia="zh-CN"/>
        </w:rPr>
      </w:pPr>
      <w:r>
        <w:rPr>
          <w:rFonts w:hint="eastAsia" w:ascii="黑体" w:hAnsi="黑体" w:eastAsia="黑体" w:cs="黑体"/>
          <w:b w:val="0"/>
          <w:bCs w:val="0"/>
          <w:sz w:val="21"/>
          <w:szCs w:val="21"/>
          <w:lang w:val="en-US" w:eastAsia="zh-CN"/>
        </w:rPr>
        <w:t>表格根据实际情况可以调节</w:t>
      </w:r>
    </w:p>
    <w:p>
      <w:pPr>
        <w:numPr>
          <w:ilvl w:val="0"/>
          <w:numId w:val="0"/>
        </w:num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              </w:t>
      </w:r>
    </w:p>
    <w:p>
      <w:pPr>
        <w:numPr>
          <w:ilvl w:val="0"/>
          <w:numId w:val="0"/>
        </w:numPr>
        <w:rPr>
          <w:rFonts w:hint="eastAsia" w:ascii="黑体" w:hAnsi="黑体" w:eastAsia="黑体" w:cs="黑体"/>
          <w:b w:val="0"/>
          <w:bCs w:val="0"/>
          <w:sz w:val="28"/>
          <w:szCs w:val="28"/>
          <w:lang w:val="en-US" w:eastAsia="zh-CN"/>
        </w:rPr>
      </w:pPr>
    </w:p>
    <w:p>
      <w:pPr>
        <w:numPr>
          <w:ilvl w:val="0"/>
          <w:numId w:val="0"/>
        </w:numPr>
        <w:ind w:firstLine="1680" w:firstLineChars="600"/>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32"/>
          <w:szCs w:val="32"/>
          <w:lang w:val="en-US" w:eastAsia="zh-CN"/>
        </w:rPr>
        <w:t xml:space="preserve"> 环境保护税缴纳信息</w:t>
      </w:r>
      <w:r>
        <w:rPr>
          <w:rFonts w:hint="eastAsia" w:ascii="黑体" w:hAnsi="黑体" w:eastAsia="黑体" w:cs="黑体"/>
          <w:b w:val="0"/>
          <w:bCs w:val="0"/>
          <w:sz w:val="28"/>
          <w:szCs w:val="28"/>
          <w:lang w:val="en-US" w:eastAsia="zh-CN"/>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6"/>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环境保护税分税目缴纳额</w:t>
            </w:r>
          </w:p>
        </w:tc>
        <w:tc>
          <w:tcPr>
            <w:tcW w:w="3796" w:type="dxa"/>
          </w:tcPr>
          <w:p>
            <w:pPr>
              <w:numPr>
                <w:ilvl w:val="0"/>
                <w:numId w:val="0"/>
              </w:numP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实际缴纳总额</w:t>
            </w:r>
          </w:p>
        </w:tc>
        <w:tc>
          <w:tcPr>
            <w:tcW w:w="3796" w:type="dxa"/>
          </w:tcPr>
          <w:p>
            <w:pPr>
              <w:numPr>
                <w:ilvl w:val="0"/>
                <w:numId w:val="0"/>
              </w:numP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6"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依法依规享受税收减征或免征的情况</w:t>
            </w:r>
          </w:p>
        </w:tc>
        <w:tc>
          <w:tcPr>
            <w:tcW w:w="3796" w:type="dxa"/>
          </w:tcPr>
          <w:p>
            <w:pPr>
              <w:numPr>
                <w:ilvl w:val="0"/>
                <w:numId w:val="0"/>
              </w:numPr>
              <w:rPr>
                <w:rFonts w:hint="eastAsia" w:ascii="黑体" w:hAnsi="黑体" w:eastAsia="黑体" w:cs="黑体"/>
                <w:b w:val="0"/>
                <w:bCs w:val="0"/>
                <w:sz w:val="28"/>
                <w:szCs w:val="28"/>
                <w:vertAlign w:val="baseline"/>
                <w:lang w:val="en-US" w:eastAsia="zh-CN"/>
              </w:rPr>
            </w:pPr>
          </w:p>
        </w:tc>
      </w:tr>
    </w:tbl>
    <w:p>
      <w:pPr>
        <w:numPr>
          <w:ilvl w:val="0"/>
          <w:numId w:val="0"/>
        </w:numPr>
        <w:rPr>
          <w:rFonts w:hint="eastAsia" w:ascii="黑体" w:hAnsi="黑体" w:eastAsia="黑体" w:cs="黑体"/>
          <w:b w:val="0"/>
          <w:bCs w:val="0"/>
          <w:sz w:val="28"/>
          <w:szCs w:val="28"/>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32"/>
          <w:szCs w:val="32"/>
          <w:lang w:val="en-US" w:eastAsia="zh-CN"/>
        </w:rPr>
        <w:t xml:space="preserve">   污染物产生、治理与排放信息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污染防治设施的名称</w:t>
            </w:r>
          </w:p>
        </w:tc>
        <w:tc>
          <w:tcPr>
            <w:tcW w:w="6392" w:type="dxa"/>
          </w:tcPr>
          <w:p>
            <w:pPr>
              <w:numPr>
                <w:ilvl w:val="0"/>
                <w:numId w:val="0"/>
              </w:num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出水在线监测站房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对应的产污环节</w:t>
            </w:r>
          </w:p>
        </w:tc>
        <w:tc>
          <w:tcPr>
            <w:tcW w:w="6392" w:type="dxa"/>
          </w:tcPr>
          <w:p>
            <w:pPr>
              <w:numPr>
                <w:ilvl w:val="0"/>
                <w:numId w:val="0"/>
              </w:num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AAO生化工艺产出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处理的污染物</w:t>
            </w:r>
          </w:p>
        </w:tc>
        <w:tc>
          <w:tcPr>
            <w:tcW w:w="6392" w:type="dxa"/>
          </w:tcPr>
          <w:p>
            <w:pPr>
              <w:numPr>
                <w:ilvl w:val="0"/>
                <w:numId w:val="0"/>
              </w:numPr>
              <w:jc w:val="cente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1"/>
                <w:szCs w:val="21"/>
                <w:vertAlign w:val="baseline"/>
                <w:lang w:val="en-US" w:eastAsia="zh-CN"/>
              </w:rPr>
              <w:t>总</w:t>
            </w:r>
            <w:r>
              <w:rPr>
                <w:rFonts w:hint="eastAsia" w:ascii="宋体" w:hAnsi="宋体" w:eastAsia="宋体" w:cs="宋体"/>
                <w:b w:val="0"/>
                <w:bCs w:val="0"/>
                <w:sz w:val="21"/>
                <w:szCs w:val="21"/>
                <w:vertAlign w:val="baseline"/>
                <w:lang w:val="en-US" w:eastAsia="zh-CN"/>
              </w:rPr>
              <w:t>磷、总氮、氨氮、COD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对应排污口的名称</w:t>
            </w:r>
          </w:p>
        </w:tc>
        <w:tc>
          <w:tcPr>
            <w:tcW w:w="6392"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准东污水处理厂污水总排口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对应排污口的编号</w:t>
            </w:r>
          </w:p>
        </w:tc>
        <w:tc>
          <w:tcPr>
            <w:tcW w:w="6392"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排放的污染物次数、日期及时长</w:t>
            </w:r>
          </w:p>
        </w:tc>
        <w:tc>
          <w:tcPr>
            <w:tcW w:w="6392"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24小时连续排放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排放的污染物主要原因</w:t>
            </w:r>
          </w:p>
        </w:tc>
        <w:tc>
          <w:tcPr>
            <w:tcW w:w="6392"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污水达标处理产生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污染防治设施运行维护情况</w:t>
            </w:r>
          </w:p>
        </w:tc>
        <w:tc>
          <w:tcPr>
            <w:tcW w:w="6392"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第三方运维</w:t>
            </w:r>
          </w:p>
        </w:tc>
      </w:tr>
    </w:tbl>
    <w:p>
      <w:pPr>
        <w:numPr>
          <w:ilvl w:val="0"/>
          <w:numId w:val="0"/>
        </w:numPr>
        <w:rPr>
          <w:rFonts w:hint="eastAsia" w:ascii="宋体" w:hAnsi="宋体" w:eastAsia="宋体" w:cs="宋体"/>
          <w:b w:val="0"/>
          <w:bCs w:val="0"/>
          <w:sz w:val="28"/>
          <w:szCs w:val="28"/>
          <w:lang w:val="en-US" w:eastAsia="zh-CN"/>
        </w:rPr>
      </w:pPr>
    </w:p>
    <w:p>
      <w:pPr>
        <w:numPr>
          <w:ilvl w:val="0"/>
          <w:numId w:val="0"/>
        </w:numPr>
        <w:ind w:firstLine="3200" w:firstLineChars="10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排污许可执行报告</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排污许可证管理类别</w:t>
            </w:r>
          </w:p>
        </w:tc>
        <w:tc>
          <w:tcPr>
            <w:tcW w:w="4261" w:type="dxa"/>
          </w:tcPr>
          <w:p>
            <w:pPr>
              <w:numPr>
                <w:ilvl w:val="0"/>
                <w:numId w:val="0"/>
              </w:num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简化管理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执行报告应编制公开的次数</w:t>
            </w:r>
          </w:p>
        </w:tc>
        <w:tc>
          <w:tcPr>
            <w:tcW w:w="4261" w:type="dxa"/>
          </w:tcPr>
          <w:p>
            <w:pPr>
              <w:numPr>
                <w:ilvl w:val="0"/>
                <w:numId w:val="0"/>
              </w:numP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实际编制公开的次数</w:t>
            </w:r>
          </w:p>
        </w:tc>
        <w:tc>
          <w:tcPr>
            <w:tcW w:w="4261" w:type="dxa"/>
          </w:tcPr>
          <w:p>
            <w:pPr>
              <w:numPr>
                <w:ilvl w:val="0"/>
                <w:numId w:val="0"/>
              </w:num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按频次全部公开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发布信息</w:t>
            </w:r>
          </w:p>
        </w:tc>
        <w:tc>
          <w:tcPr>
            <w:tcW w:w="4261" w:type="dxa"/>
          </w:tcPr>
          <w:p>
            <w:pPr>
              <w:numPr>
                <w:ilvl w:val="0"/>
                <w:numId w:val="0"/>
              </w:numP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国家排污许可信息公开系统发布</w:t>
            </w:r>
          </w:p>
        </w:tc>
      </w:tr>
    </w:tbl>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pPr>
        <w:numPr>
          <w:ilvl w:val="0"/>
          <w:numId w:val="0"/>
        </w:numPr>
        <w:rPr>
          <w:rFonts w:hint="eastAsia"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生态环境应急信息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突发环境事件应急预案</w:t>
            </w:r>
          </w:p>
        </w:tc>
        <w:tc>
          <w:tcPr>
            <w:tcW w:w="4261" w:type="dxa"/>
          </w:tcPr>
          <w:p>
            <w:pPr>
              <w:numPr>
                <w:ilvl w:val="0"/>
                <w:numId w:val="0"/>
              </w:numPr>
              <w:rPr>
                <w:rFonts w:hint="default"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新疆准东金盆湾水林有限公司污水处理厂突发环境事件应急预案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备案机关</w:t>
            </w:r>
          </w:p>
        </w:tc>
        <w:tc>
          <w:tcPr>
            <w:tcW w:w="4261" w:type="dxa"/>
          </w:tcPr>
          <w:p>
            <w:pPr>
              <w:numPr>
                <w:ilvl w:val="0"/>
                <w:numId w:val="0"/>
              </w:numPr>
              <w:rPr>
                <w:rFonts w:hint="default"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新疆准东经济技术开发区环境保护局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备案编号</w:t>
            </w:r>
          </w:p>
        </w:tc>
        <w:tc>
          <w:tcPr>
            <w:tcW w:w="4261" w:type="dxa"/>
          </w:tcPr>
          <w:p>
            <w:pPr>
              <w:numPr>
                <w:ilvl w:val="0"/>
                <w:numId w:val="0"/>
              </w:numPr>
              <w:rPr>
                <w:rFonts w:hint="default" w:ascii="黑体" w:hAnsi="黑体" w:eastAsia="黑体" w:cs="黑体"/>
                <w:b w:val="0"/>
                <w:bCs w:val="0"/>
                <w:sz w:val="32"/>
                <w:szCs w:val="32"/>
                <w:vertAlign w:val="baseline"/>
                <w:lang w:val="en-US" w:eastAsia="zh-CN"/>
              </w:rPr>
            </w:pPr>
            <w:r>
              <w:rPr>
                <w:rFonts w:hint="eastAsia" w:ascii="宋体" w:hAnsi="宋体" w:eastAsia="宋体" w:cs="宋体"/>
                <w:b w:val="0"/>
                <w:bCs w:val="0"/>
                <w:sz w:val="21"/>
                <w:szCs w:val="21"/>
                <w:vertAlign w:val="baseline"/>
                <w:lang w:val="en-US" w:eastAsia="zh-CN"/>
              </w:rPr>
              <w:t>652327-2021-09-L</w:t>
            </w:r>
          </w:p>
        </w:tc>
      </w:tr>
    </w:tbl>
    <w:p>
      <w:pPr>
        <w:numPr>
          <w:ilvl w:val="0"/>
          <w:numId w:val="0"/>
        </w:numPr>
        <w:rPr>
          <w:rFonts w:hint="default" w:ascii="黑体" w:hAnsi="黑体" w:eastAsia="黑体" w:cs="黑体"/>
          <w:b w:val="0"/>
          <w:bCs w:val="0"/>
          <w:sz w:val="32"/>
          <w:szCs w:val="32"/>
          <w:lang w:val="en-US" w:eastAsia="zh-CN"/>
        </w:rPr>
      </w:pP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28"/>
          <w:szCs w:val="28"/>
          <w:lang w:val="en-US" w:eastAsia="zh-CN"/>
        </w:rPr>
        <w:t>重污染天气应急响应情况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重污染天气应急预案编制情况</w:t>
            </w:r>
          </w:p>
        </w:tc>
        <w:tc>
          <w:tcPr>
            <w:tcW w:w="4261" w:type="dxa"/>
          </w:tcPr>
          <w:p>
            <w:pPr>
              <w:numPr>
                <w:ilvl w:val="0"/>
                <w:numId w:val="0"/>
              </w:numPr>
              <w:rPr>
                <w:rFonts w:hint="default" w:ascii="黑体" w:hAnsi="黑体" w:eastAsia="黑体" w:cs="黑体"/>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一厂一策公示牌落实情况</w:t>
            </w:r>
          </w:p>
        </w:tc>
        <w:tc>
          <w:tcPr>
            <w:tcW w:w="4261" w:type="dxa"/>
          </w:tcPr>
          <w:p>
            <w:pPr>
              <w:numPr>
                <w:ilvl w:val="0"/>
                <w:numId w:val="0"/>
              </w:numPr>
              <w:rPr>
                <w:rFonts w:hint="default" w:ascii="黑体" w:hAnsi="黑体" w:eastAsia="黑体" w:cs="黑体"/>
                <w:b w:val="0"/>
                <w:bCs w:val="0"/>
                <w:sz w:val="32"/>
                <w:szCs w:val="32"/>
                <w:vertAlign w:val="baseline"/>
                <w:lang w:val="en-US" w:eastAsia="zh-CN"/>
              </w:rPr>
            </w:pPr>
          </w:p>
        </w:tc>
      </w:tr>
    </w:tbl>
    <w:p>
      <w:pPr>
        <w:jc w:val="center"/>
        <w:rPr>
          <w:rFonts w:hint="eastAsia"/>
          <w:b/>
          <w:bCs/>
          <w:sz w:val="24"/>
          <w:szCs w:val="32"/>
          <w:lang w:val="en-US" w:eastAsia="zh-CN"/>
        </w:rPr>
      </w:pPr>
    </w:p>
    <w:tbl>
      <w:tblPr>
        <w:tblStyle w:val="3"/>
        <w:tblpPr w:leftFromText="180" w:rightFromText="180" w:vertAnchor="page" w:horzAnchor="page" w:tblpX="2085" w:tblpY="1728"/>
        <w:tblOverlap w:val="never"/>
        <w:tblW w:w="7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rFonts w:hint="eastAsia" w:eastAsiaTheme="minorEastAsia"/>
                <w:vertAlign w:val="baseline"/>
                <w:lang w:val="en-US" w:eastAsia="zh-CN"/>
              </w:rPr>
            </w:pPr>
            <w:r>
              <w:rPr>
                <w:rFonts w:hint="eastAsia" w:ascii="黑体" w:hAnsi="黑体" w:eastAsia="黑体" w:cs="黑体"/>
                <w:b/>
                <w:bCs/>
                <w:sz w:val="24"/>
                <w:szCs w:val="24"/>
                <w:vertAlign w:val="baseline"/>
                <w:lang w:val="en-US" w:eastAsia="zh-CN"/>
              </w:rPr>
              <w:t>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lang w:eastAsia="zh-CN"/>
              </w:rPr>
              <w:t>大气污染物名称</w:t>
            </w:r>
          </w:p>
        </w:tc>
        <w:tc>
          <w:tcPr>
            <w:tcW w:w="3348" w:type="dxa"/>
          </w:tcPr>
          <w:p>
            <w:pPr>
              <w:rPr>
                <w:rFonts w:hint="eastAsia" w:eastAsiaTheme="minorEastAsia"/>
                <w:vertAlign w:val="baseline"/>
                <w:lang w:eastAsia="zh-CN"/>
              </w:rPr>
            </w:pPr>
            <w:r>
              <w:rPr>
                <w:rFonts w:hint="eastAsia"/>
                <w:vertAlign w:val="baseline"/>
                <w:lang w:eastAsia="zh-CN"/>
              </w:rPr>
              <w:t>氨、臭气浓度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lang w:eastAsia="zh-CN"/>
              </w:rPr>
              <w:t>大气污染物排污口的数量</w:t>
            </w:r>
          </w:p>
        </w:tc>
        <w:tc>
          <w:tcPr>
            <w:tcW w:w="3348" w:type="dxa"/>
          </w:tcPr>
          <w:p>
            <w:pPr>
              <w:rPr>
                <w:rFonts w:hint="eastAsia" w:eastAsiaTheme="minorEastAsia"/>
                <w:vertAlign w:val="baseline"/>
                <w:lang w:val="en-US" w:eastAsia="zh-CN"/>
              </w:rPr>
            </w:pPr>
            <w:r>
              <w:rPr>
                <w:rFonts w:hint="eastAsia"/>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restart"/>
          </w:tcPr>
          <w:p>
            <w:pPr>
              <w:jc w:val="left"/>
              <w:rPr>
                <w:rFonts w:hint="eastAsia" w:ascii="黑体" w:hAnsi="黑体" w:eastAsia="黑体" w:cs="黑体"/>
                <w:vertAlign w:val="baseline"/>
                <w:lang w:eastAsia="zh-CN"/>
              </w:rPr>
            </w:pPr>
          </w:p>
          <w:p>
            <w:pPr>
              <w:jc w:val="left"/>
              <w:rPr>
                <w:rFonts w:hint="eastAsia" w:ascii="黑体" w:hAnsi="黑体" w:eastAsia="黑体" w:cs="黑体"/>
                <w:vertAlign w:val="baseline"/>
              </w:rPr>
            </w:pPr>
            <w:r>
              <w:rPr>
                <w:rFonts w:hint="eastAsia" w:ascii="黑体" w:hAnsi="黑体" w:eastAsia="黑体" w:cs="黑体"/>
                <w:vertAlign w:val="baseline"/>
                <w:lang w:eastAsia="zh-CN"/>
              </w:rPr>
              <w:t>主要排污口各项污染物的实际排放总量</w:t>
            </w:r>
          </w:p>
        </w:tc>
        <w:tc>
          <w:tcPr>
            <w:tcW w:w="3348" w:type="dxa"/>
          </w:tcPr>
          <w:p>
            <w:pPr>
              <w:rPr>
                <w:rFonts w:hint="default" w:eastAsiaTheme="minorEastAsia"/>
                <w:vertAlign w:val="baseline"/>
                <w:lang w:val="en-US" w:eastAsia="zh-CN"/>
              </w:rPr>
            </w:pPr>
            <w:r>
              <w:rPr>
                <w:rFonts w:hint="eastAsia"/>
                <w:vertAlign w:val="baseline"/>
                <w:lang w:val="en-US" w:eastAsia="zh-CN"/>
              </w:rPr>
              <w:t>氨：1.53mg/m³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rPr>
                <w:vertAlign w:val="baseline"/>
              </w:rPr>
            </w:pPr>
            <w:r>
              <w:rPr>
                <w:rFonts w:hint="eastAsia"/>
                <w:vertAlign w:val="baseline"/>
                <w:lang w:val="en-US" w:eastAsia="zh-CN"/>
              </w:rPr>
              <w:t>臭气浓度：97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restart"/>
          </w:tcPr>
          <w:p>
            <w:pPr>
              <w:jc w:val="left"/>
              <w:rPr>
                <w:rFonts w:hint="eastAsia" w:ascii="黑体" w:hAnsi="黑体" w:eastAsia="黑体" w:cs="黑体"/>
                <w:vertAlign w:val="baseline"/>
              </w:rPr>
            </w:pPr>
          </w:p>
          <w:p>
            <w:pPr>
              <w:bidi w:val="0"/>
              <w:jc w:val="left"/>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大气污染物小时浓度的年度平均值</w:t>
            </w:r>
          </w:p>
        </w:tc>
        <w:tc>
          <w:tcPr>
            <w:tcW w:w="3348" w:type="dxa"/>
          </w:tcPr>
          <w:p>
            <w:pPr>
              <w:rPr>
                <w:vertAlign w:val="baseline"/>
              </w:rPr>
            </w:pPr>
            <w:r>
              <w:rPr>
                <w:rFonts w:hint="eastAsia"/>
                <w:vertAlign w:val="baseline"/>
                <w:lang w:val="en-US" w:eastAsia="zh-CN"/>
              </w:rPr>
              <w:t>氨：1.39mg/m³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rPr>
                <w:rFonts w:hint="default"/>
                <w:vertAlign w:val="baseline"/>
                <w:lang w:val="en-US"/>
              </w:rPr>
            </w:pPr>
            <w:r>
              <w:rPr>
                <w:rFonts w:hint="eastAsia"/>
                <w:vertAlign w:val="baseline"/>
                <w:lang w:val="en-US" w:eastAsia="zh-CN"/>
              </w:rPr>
              <w:t>臭气浓度：133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vMerge w:val="continue"/>
          </w:tcPr>
          <w:p>
            <w:pPr>
              <w:jc w:val="left"/>
              <w:rPr>
                <w:rFonts w:hint="eastAsia" w:ascii="黑体" w:hAnsi="黑体" w:eastAsia="黑体" w:cs="黑体"/>
                <w:vertAlign w:val="baseline"/>
              </w:rPr>
            </w:pPr>
          </w:p>
        </w:tc>
        <w:tc>
          <w:tcPr>
            <w:tcW w:w="3348"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各排污口安装污染源在线自动监测设备及与生态环境部门联网情况</w:t>
            </w:r>
          </w:p>
        </w:tc>
        <w:tc>
          <w:tcPr>
            <w:tcW w:w="3348" w:type="dxa"/>
          </w:tcPr>
          <w:p>
            <w:pPr>
              <w:rPr>
                <w:rFonts w:hint="eastAsia" w:eastAsiaTheme="minorEastAsia"/>
                <w:vertAlign w:val="baseline"/>
                <w:lang w:val="en-US" w:eastAsia="zh-CN"/>
              </w:rPr>
            </w:pPr>
            <w:r>
              <w:rPr>
                <w:rFonts w:hint="eastAsia"/>
                <w:vertAlign w:val="baseline"/>
                <w:lang w:val="en-US" w:eastAsia="zh-CN"/>
              </w:rPr>
              <w:t>已安装废水在线监测系统并与各级生态环境部门联网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vertAlign w:val="baseline"/>
              </w:rPr>
            </w:pPr>
            <w:r>
              <w:rPr>
                <w:rFonts w:hint="eastAsia" w:ascii="黑体" w:hAnsi="黑体" w:eastAsia="黑体" w:cs="黑体"/>
                <w:b/>
                <w:bCs/>
                <w:sz w:val="24"/>
                <w:szCs w:val="24"/>
                <w:vertAlign w:val="baseline"/>
                <w:lang w:val="en-US" w:eastAsia="zh-CN"/>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无组织排放污染物名称</w:t>
            </w:r>
          </w:p>
        </w:tc>
        <w:tc>
          <w:tcPr>
            <w:tcW w:w="3348" w:type="dxa"/>
          </w:tcPr>
          <w:p>
            <w:pPr>
              <w:rPr>
                <w:vertAlign w:val="baseline"/>
              </w:rPr>
            </w:pPr>
            <w:r>
              <w:rPr>
                <w:rFonts w:hint="eastAsia"/>
                <w:vertAlign w:val="baseline"/>
                <w:lang w:eastAsia="zh-CN"/>
              </w:rPr>
              <w:t>氨、硫化氢、臭气浓度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jc w:val="left"/>
              <w:rPr>
                <w:rFonts w:hint="eastAsia" w:ascii="黑体" w:hAnsi="黑体" w:eastAsia="黑体" w:cs="黑体"/>
                <w:vertAlign w:val="baseline"/>
              </w:rPr>
            </w:pPr>
            <w:r>
              <w:rPr>
                <w:rFonts w:hint="eastAsia" w:ascii="黑体" w:hAnsi="黑体" w:eastAsia="黑体" w:cs="黑体"/>
                <w:vertAlign w:val="baseline"/>
              </w:rPr>
              <w:t>无组织排放监测点位名称</w:t>
            </w:r>
          </w:p>
        </w:tc>
        <w:tc>
          <w:tcPr>
            <w:tcW w:w="3348" w:type="dxa"/>
          </w:tcPr>
          <w:p>
            <w:pPr>
              <w:rPr>
                <w:rFonts w:hint="default" w:eastAsiaTheme="minorEastAsia"/>
                <w:vertAlign w:val="baseline"/>
                <w:lang w:val="en-US" w:eastAsia="zh-CN"/>
              </w:rPr>
            </w:pPr>
            <w:r>
              <w:rPr>
                <w:rFonts w:hint="eastAsia"/>
                <w:vertAlign w:val="baseline"/>
                <w:lang w:val="en-US" w:eastAsia="zh-CN"/>
              </w:rPr>
              <w:t>脱泥间北侧厂界外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464" w:type="dxa"/>
          </w:tcPr>
          <w:p>
            <w:pPr>
              <w:jc w:val="left"/>
              <w:rPr>
                <w:rFonts w:hint="eastAsia" w:ascii="黑体" w:hAnsi="黑体" w:eastAsia="黑体" w:cs="黑体"/>
                <w:vertAlign w:val="baseline"/>
              </w:rPr>
            </w:pPr>
          </w:p>
          <w:p>
            <w:pPr>
              <w:jc w:val="left"/>
              <w:rPr>
                <w:rFonts w:hint="eastAsia" w:ascii="黑体" w:hAnsi="黑体" w:eastAsia="黑体" w:cs="黑体"/>
                <w:vertAlign w:val="baseline"/>
              </w:rPr>
            </w:pPr>
            <w:r>
              <w:rPr>
                <w:rFonts w:hint="eastAsia" w:ascii="黑体" w:hAnsi="黑体" w:eastAsia="黑体" w:cs="黑体"/>
                <w:vertAlign w:val="baseline"/>
              </w:rPr>
              <w:t>各监测点位主要大气污染物实际排放浓度</w:t>
            </w:r>
          </w:p>
        </w:tc>
        <w:tc>
          <w:tcPr>
            <w:tcW w:w="3348" w:type="dxa"/>
          </w:tcPr>
          <w:p>
            <w:pPr>
              <w:rPr>
                <w:rFonts w:hint="eastAsia"/>
                <w:vertAlign w:val="baseline"/>
                <w:lang w:val="en-US" w:eastAsia="zh-CN"/>
              </w:rPr>
            </w:pPr>
            <w:r>
              <w:rPr>
                <w:rFonts w:hint="eastAsia"/>
                <w:vertAlign w:val="baseline"/>
                <w:lang w:eastAsia="zh-CN"/>
              </w:rPr>
              <w:t>硫化氢：</w:t>
            </w:r>
            <w:r>
              <w:rPr>
                <w:rFonts w:hint="eastAsia"/>
                <w:vertAlign w:val="baseline"/>
                <w:lang w:val="en-US" w:eastAsia="zh-CN"/>
              </w:rPr>
              <w:t>0.006mg/m³</w:t>
            </w:r>
          </w:p>
          <w:p>
            <w:pPr>
              <w:rPr>
                <w:rFonts w:hint="eastAsia"/>
                <w:vertAlign w:val="baseline"/>
                <w:lang w:val="en-US" w:eastAsia="zh-CN"/>
              </w:rPr>
            </w:pPr>
            <w:r>
              <w:rPr>
                <w:rFonts w:hint="eastAsia"/>
                <w:vertAlign w:val="baseline"/>
                <w:lang w:val="en-US" w:eastAsia="zh-CN"/>
              </w:rPr>
              <w:t>氨：0.046mg/m³</w:t>
            </w:r>
          </w:p>
          <w:p>
            <w:pPr>
              <w:rPr>
                <w:rFonts w:hint="default"/>
                <w:vertAlign w:val="baseline"/>
                <w:lang w:val="en-US" w:eastAsia="zh-CN"/>
              </w:rPr>
            </w:pPr>
            <w:r>
              <w:rPr>
                <w:rFonts w:hint="eastAsia"/>
                <w:vertAlign w:val="baseline"/>
                <w:lang w:val="en-US" w:eastAsia="zh-CN"/>
              </w:rPr>
              <w:t>臭气浓度：ND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812" w:type="dxa"/>
            <w:gridSpan w:val="2"/>
          </w:tcPr>
          <w:p>
            <w:pPr>
              <w:jc w:val="center"/>
              <w:rPr>
                <w:rFonts w:hint="eastAsia" w:eastAsiaTheme="minorEastAsia"/>
                <w:vertAlign w:val="baseline"/>
                <w:lang w:eastAsia="zh-CN"/>
              </w:rPr>
            </w:pPr>
            <w:r>
              <w:rPr>
                <w:rFonts w:hint="eastAsia" w:ascii="黑体" w:hAnsi="黑体" w:eastAsia="黑体" w:cs="黑体"/>
                <w:b/>
                <w:bCs/>
                <w:sz w:val="24"/>
                <w:szCs w:val="24"/>
                <w:vertAlign w:val="baseline"/>
                <w:lang w:eastAsia="zh-CN"/>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全年生产天数</w:t>
            </w:r>
          </w:p>
        </w:tc>
        <w:tc>
          <w:tcPr>
            <w:tcW w:w="3348" w:type="dxa"/>
          </w:tcPr>
          <w:p>
            <w:pPr>
              <w:rPr>
                <w:rFonts w:hint="default" w:eastAsiaTheme="minorEastAsia"/>
                <w:vertAlign w:val="baseline"/>
                <w:lang w:val="en-US" w:eastAsia="zh-CN"/>
              </w:rPr>
            </w:pPr>
            <w:r>
              <w:rPr>
                <w:rFonts w:hint="eastAsia"/>
                <w:vertAlign w:val="baseline"/>
                <w:lang w:val="en-US" w:eastAsia="zh-CN"/>
              </w:rPr>
              <w:t>349天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自行监测天数(或次数)</w:t>
            </w:r>
          </w:p>
        </w:tc>
        <w:tc>
          <w:tcPr>
            <w:tcW w:w="3348" w:type="dxa"/>
          </w:tcPr>
          <w:p>
            <w:pPr>
              <w:rPr>
                <w:rFonts w:hint="eastAsia"/>
                <w:vertAlign w:val="baseline"/>
                <w:lang w:val="en-US" w:eastAsia="zh-CN"/>
              </w:rPr>
            </w:pPr>
            <w:r>
              <w:rPr>
                <w:rFonts w:hint="eastAsia"/>
                <w:vertAlign w:val="baseline"/>
                <w:lang w:eastAsia="zh-CN"/>
              </w:rPr>
              <w:t>自动监测</w:t>
            </w:r>
            <w:r>
              <w:rPr>
                <w:rFonts w:hint="eastAsia"/>
                <w:vertAlign w:val="baseline"/>
                <w:lang w:val="en-US" w:eastAsia="zh-CN"/>
              </w:rPr>
              <w:t>:24小时连续监测</w:t>
            </w:r>
          </w:p>
          <w:p>
            <w:pPr>
              <w:rPr>
                <w:rFonts w:hint="default"/>
                <w:vertAlign w:val="baseline"/>
                <w:lang w:val="en-US" w:eastAsia="zh-CN"/>
              </w:rPr>
            </w:pPr>
            <w:r>
              <w:rPr>
                <w:rFonts w:hint="eastAsia"/>
                <w:vertAlign w:val="baseline"/>
                <w:lang w:val="en-US" w:eastAsia="zh-CN"/>
              </w:rPr>
              <w:t>手工监测：1月1次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64" w:type="dxa"/>
          </w:tcPr>
          <w:p>
            <w:pPr>
              <w:rPr>
                <w:rFonts w:hint="eastAsia" w:ascii="黑体" w:hAnsi="黑体" w:eastAsia="黑体" w:cs="黑体"/>
                <w:vertAlign w:val="baseline"/>
              </w:rPr>
            </w:pPr>
            <w:r>
              <w:rPr>
                <w:rFonts w:hint="eastAsia" w:ascii="黑体" w:hAnsi="黑体" w:eastAsia="黑体" w:cs="黑体"/>
                <w:vertAlign w:val="baseline"/>
              </w:rPr>
              <w:t>委托的第三方检测机构名称和资质</w:t>
            </w:r>
          </w:p>
        </w:tc>
        <w:tc>
          <w:tcPr>
            <w:tcW w:w="3348" w:type="dxa"/>
          </w:tcPr>
          <w:p>
            <w:pPr>
              <w:rPr>
                <w:rFonts w:hint="eastAsia" w:eastAsiaTheme="minorEastAsia"/>
                <w:vertAlign w:val="baseline"/>
                <w:lang w:eastAsia="zh-CN"/>
              </w:rPr>
            </w:pPr>
            <w:r>
              <w:rPr>
                <w:rFonts w:hint="eastAsia"/>
                <w:vertAlign w:val="baseline"/>
                <w:lang w:eastAsia="zh-CN"/>
              </w:rPr>
              <w:t>新疆天熙环保科技有限公司</w:t>
            </w:r>
          </w:p>
        </w:tc>
      </w:tr>
    </w:tbl>
    <w:p>
      <w:pPr>
        <w:jc w:val="center"/>
        <w:rPr>
          <w:rFonts w:hint="eastAsia"/>
          <w:b/>
          <w:bCs/>
          <w:sz w:val="24"/>
          <w:szCs w:val="32"/>
          <w:lang w:val="en-US" w:eastAsia="zh-CN"/>
        </w:rPr>
      </w:pPr>
    </w:p>
    <w:p>
      <w:pPr>
        <w:jc w:val="center"/>
        <w:rPr>
          <w:rFonts w:hint="eastAsia"/>
          <w:b/>
          <w:bCs/>
          <w:sz w:val="28"/>
          <w:szCs w:val="28"/>
          <w:lang w:val="en-US" w:eastAsia="zh-CN"/>
        </w:rPr>
      </w:pPr>
    </w:p>
    <w:p>
      <w:pPr>
        <w:jc w:val="center"/>
        <w:rPr>
          <w:rFonts w:hint="eastAsia"/>
          <w:b/>
          <w:bCs/>
          <w:sz w:val="28"/>
          <w:szCs w:val="28"/>
          <w:lang w:val="en-US" w:eastAsia="zh-CN"/>
        </w:rPr>
      </w:pPr>
    </w:p>
    <w:p>
      <w:pPr>
        <w:ind w:firstLine="2811" w:firstLineChars="1000"/>
        <w:jc w:val="both"/>
        <w:rPr>
          <w:rFonts w:hint="eastAsia"/>
          <w:b/>
          <w:bCs/>
          <w:sz w:val="28"/>
          <w:szCs w:val="28"/>
          <w:lang w:val="en-US" w:eastAsia="zh-CN"/>
        </w:rPr>
      </w:pPr>
      <w:r>
        <w:rPr>
          <w:rFonts w:hint="eastAsia"/>
          <w:b/>
          <w:bCs/>
          <w:sz w:val="28"/>
          <w:szCs w:val="28"/>
          <w:lang w:val="en-US" w:eastAsia="zh-CN"/>
        </w:rPr>
        <w:t>扬尘污染情况(涉气企业)</w:t>
      </w:r>
    </w:p>
    <w:tbl>
      <w:tblPr>
        <w:tblStyle w:val="3"/>
        <w:tblW w:w="781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3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both"/>
              <w:rPr>
                <w:rFonts w:hint="eastAsia" w:ascii="宋体" w:hAnsi="宋体" w:eastAsia="宋体" w:cs="宋体"/>
                <w:b/>
                <w:bCs/>
                <w:sz w:val="24"/>
                <w:szCs w:val="32"/>
                <w:vertAlign w:val="baseline"/>
                <w:lang w:val="en-US" w:eastAsia="zh-CN"/>
              </w:rPr>
            </w:pPr>
            <w:r>
              <w:rPr>
                <w:rFonts w:hint="eastAsia" w:ascii="宋体" w:hAnsi="宋体" w:eastAsia="宋体" w:cs="宋体"/>
                <w:b w:val="0"/>
                <w:bCs w:val="0"/>
                <w:sz w:val="21"/>
                <w:szCs w:val="21"/>
                <w:vertAlign w:val="baseline"/>
                <w:lang w:val="en-US" w:eastAsia="zh-CN"/>
              </w:rPr>
              <w:t>煤堆、煤渣、粉煤灰、飞灰堆放</w:t>
            </w:r>
            <w:r>
              <w:rPr>
                <w:rFonts w:hint="eastAsia" w:ascii="宋体" w:hAnsi="宋体" w:eastAsia="宋体" w:cs="宋体"/>
                <w:vertAlign w:val="baseline"/>
                <w:lang w:val="en-US" w:eastAsia="zh-CN"/>
              </w:rPr>
              <w:t>情况</w:t>
            </w:r>
          </w:p>
        </w:tc>
        <w:tc>
          <w:tcPr>
            <w:tcW w:w="3837" w:type="dxa"/>
          </w:tcPr>
          <w:p>
            <w:pPr>
              <w:jc w:val="both"/>
              <w:rPr>
                <w:rFonts w:hint="eastAsia"/>
                <w:b w:val="0"/>
                <w:bCs w:val="0"/>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装卸物料采取情况</w:t>
            </w:r>
          </w:p>
        </w:tc>
        <w:tc>
          <w:tcPr>
            <w:tcW w:w="3837" w:type="dxa"/>
          </w:tcPr>
          <w:p>
            <w:pPr>
              <w:jc w:val="both"/>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防治扬尘污染的丰要措施</w:t>
            </w:r>
          </w:p>
        </w:tc>
        <w:tc>
          <w:tcPr>
            <w:tcW w:w="3837" w:type="dxa"/>
          </w:tcPr>
          <w:p>
            <w:pPr>
              <w:jc w:val="both"/>
              <w:rPr>
                <w:rFonts w:hint="eastAsia"/>
                <w:b/>
                <w:bCs/>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tcPr>
          <w:p>
            <w:pPr>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主要路面硬化情况(厂区内主干道)</w:t>
            </w:r>
          </w:p>
        </w:tc>
        <w:tc>
          <w:tcPr>
            <w:tcW w:w="3837" w:type="dxa"/>
          </w:tcPr>
          <w:p>
            <w:pPr>
              <w:jc w:val="both"/>
              <w:rPr>
                <w:rFonts w:hint="eastAsia"/>
                <w:b/>
                <w:bCs/>
                <w:sz w:val="24"/>
                <w:szCs w:val="32"/>
                <w:vertAlign w:val="baseline"/>
                <w:lang w:val="en-US" w:eastAsia="zh-CN"/>
              </w:rPr>
            </w:pPr>
          </w:p>
        </w:tc>
      </w:tr>
    </w:tbl>
    <w:p>
      <w:pPr>
        <w:jc w:val="both"/>
        <w:rPr>
          <w:rFonts w:hint="eastAsia"/>
          <w:b/>
          <w:bCs/>
          <w:sz w:val="24"/>
          <w:szCs w:val="32"/>
          <w:lang w:val="en-US" w:eastAsia="zh-CN"/>
        </w:rPr>
      </w:pPr>
    </w:p>
    <w:p>
      <w:pPr>
        <w:jc w:val="center"/>
        <w:rPr>
          <w:rFonts w:hint="eastAsia"/>
          <w:b/>
          <w:bCs/>
          <w:sz w:val="28"/>
          <w:szCs w:val="28"/>
          <w:lang w:val="en-US" w:eastAsia="zh-CN"/>
        </w:rPr>
      </w:pPr>
      <w:r>
        <w:rPr>
          <w:rFonts w:hint="eastAsia"/>
          <w:b/>
          <w:bCs/>
          <w:sz w:val="28"/>
          <w:szCs w:val="28"/>
          <w:lang w:val="en-US" w:eastAsia="zh-CN"/>
        </w:rPr>
        <w:t>噪声排放情况</w:t>
      </w:r>
    </w:p>
    <w:tbl>
      <w:tblPr>
        <w:tblStyle w:val="3"/>
        <w:tblW w:w="782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gridCol w:w="1918"/>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监测点位名称</w:t>
            </w:r>
          </w:p>
        </w:tc>
        <w:tc>
          <w:tcPr>
            <w:tcW w:w="3837" w:type="dxa"/>
            <w:gridSpan w:val="2"/>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新疆准东金盆湾水林有限公司污水处理厂厂界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restart"/>
          </w:tcPr>
          <w:p>
            <w:pPr>
              <w:jc w:val="center"/>
              <w:rPr>
                <w:rFonts w:hint="eastAsia" w:ascii="宋体" w:hAnsi="宋体" w:eastAsia="宋体" w:cs="宋体"/>
                <w:b w:val="0"/>
                <w:bCs w:val="0"/>
                <w:sz w:val="21"/>
                <w:szCs w:val="21"/>
                <w:vertAlign w:val="baseline"/>
                <w:lang w:val="en-US" w:eastAsia="zh-CN"/>
              </w:rPr>
            </w:pPr>
          </w:p>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监测点位位置</w:t>
            </w:r>
          </w:p>
        </w:tc>
        <w:tc>
          <w:tcPr>
            <w:tcW w:w="3837" w:type="dxa"/>
            <w:gridSpan w:val="2"/>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1#北侧厂界外1m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2" w:type="dxa"/>
            <w:vMerge w:val="continue"/>
          </w:tcPr>
          <w:p>
            <w:pPr>
              <w:jc w:val="center"/>
              <w:rPr>
                <w:rFonts w:hint="eastAsia" w:ascii="宋体" w:hAnsi="宋体" w:eastAsia="宋体" w:cs="宋体"/>
                <w:b w:val="0"/>
                <w:bCs w:val="0"/>
                <w:sz w:val="21"/>
                <w:szCs w:val="21"/>
                <w:vertAlign w:val="baseline"/>
                <w:lang w:val="en-US" w:eastAsia="zh-CN"/>
              </w:rPr>
            </w:pPr>
          </w:p>
        </w:tc>
        <w:tc>
          <w:tcPr>
            <w:tcW w:w="3837" w:type="dxa"/>
            <w:gridSpan w:val="2"/>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2#南侧厂界外1m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continue"/>
          </w:tcPr>
          <w:p>
            <w:pPr>
              <w:jc w:val="center"/>
              <w:rPr>
                <w:rFonts w:hint="eastAsia" w:ascii="宋体" w:hAnsi="宋体" w:eastAsia="宋体" w:cs="宋体"/>
                <w:b w:val="0"/>
                <w:bCs w:val="0"/>
                <w:sz w:val="21"/>
                <w:szCs w:val="21"/>
                <w:vertAlign w:val="baseline"/>
                <w:lang w:val="en-US" w:eastAsia="zh-CN"/>
              </w:rPr>
            </w:pPr>
          </w:p>
        </w:tc>
        <w:tc>
          <w:tcPr>
            <w:tcW w:w="3837" w:type="dxa"/>
            <w:gridSpan w:val="2"/>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3#西侧厂界外1m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continue"/>
          </w:tcPr>
          <w:p>
            <w:pPr>
              <w:jc w:val="center"/>
              <w:rPr>
                <w:rFonts w:hint="eastAsia" w:ascii="宋体" w:hAnsi="宋体" w:eastAsia="宋体" w:cs="宋体"/>
                <w:b w:val="0"/>
                <w:bCs w:val="0"/>
                <w:sz w:val="21"/>
                <w:szCs w:val="21"/>
                <w:vertAlign w:val="baseline"/>
                <w:lang w:val="en-US" w:eastAsia="zh-CN"/>
              </w:rPr>
            </w:pPr>
          </w:p>
        </w:tc>
        <w:tc>
          <w:tcPr>
            <w:tcW w:w="3837" w:type="dxa"/>
            <w:gridSpan w:val="2"/>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4#东侧厂界外1m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执行标准</w:t>
            </w:r>
          </w:p>
        </w:tc>
        <w:tc>
          <w:tcPr>
            <w:tcW w:w="3837" w:type="dxa"/>
            <w:gridSpan w:val="2"/>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工业企业厂界环境噪声（12348-2008）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排放限值</w:t>
            </w:r>
          </w:p>
        </w:tc>
        <w:tc>
          <w:tcPr>
            <w:tcW w:w="1918"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昼间 65</w:t>
            </w:r>
          </w:p>
        </w:tc>
        <w:tc>
          <w:tcPr>
            <w:tcW w:w="1919"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夜间 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restart"/>
          </w:tcPr>
          <w:p>
            <w:pPr>
              <w:jc w:val="center"/>
              <w:rPr>
                <w:rFonts w:hint="eastAsia" w:ascii="宋体" w:hAnsi="宋体" w:eastAsia="宋体" w:cs="宋体"/>
                <w:b/>
                <w:bCs/>
                <w:sz w:val="24"/>
                <w:szCs w:val="32"/>
                <w:vertAlign w:val="baseline"/>
                <w:lang w:val="en-US" w:eastAsia="zh-CN"/>
              </w:rPr>
            </w:pPr>
          </w:p>
          <w:p>
            <w:pPr>
              <w:bidi w:val="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实际排放值</w:t>
            </w:r>
          </w:p>
        </w:tc>
        <w:tc>
          <w:tcPr>
            <w:tcW w:w="1918"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 48.3</w:t>
            </w:r>
          </w:p>
        </w:tc>
        <w:tc>
          <w:tcPr>
            <w:tcW w:w="1919"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 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continue"/>
          </w:tcPr>
          <w:p>
            <w:pPr>
              <w:jc w:val="both"/>
              <w:rPr>
                <w:rFonts w:hint="eastAsia"/>
                <w:b/>
                <w:bCs/>
                <w:sz w:val="24"/>
                <w:szCs w:val="32"/>
                <w:vertAlign w:val="baseline"/>
                <w:lang w:val="en-US" w:eastAsia="zh-CN"/>
              </w:rPr>
            </w:pPr>
          </w:p>
        </w:tc>
        <w:tc>
          <w:tcPr>
            <w:tcW w:w="1918"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 47.6</w:t>
            </w:r>
          </w:p>
        </w:tc>
        <w:tc>
          <w:tcPr>
            <w:tcW w:w="1919"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 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2" w:type="dxa"/>
            <w:vMerge w:val="continue"/>
          </w:tcPr>
          <w:p>
            <w:pPr>
              <w:jc w:val="both"/>
              <w:rPr>
                <w:rFonts w:hint="eastAsia"/>
                <w:b/>
                <w:bCs/>
                <w:sz w:val="24"/>
                <w:szCs w:val="32"/>
                <w:vertAlign w:val="baseline"/>
                <w:lang w:val="en-US" w:eastAsia="zh-CN"/>
              </w:rPr>
            </w:pPr>
          </w:p>
        </w:tc>
        <w:tc>
          <w:tcPr>
            <w:tcW w:w="1918"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 48.8</w:t>
            </w:r>
          </w:p>
        </w:tc>
        <w:tc>
          <w:tcPr>
            <w:tcW w:w="1919"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 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992" w:type="dxa"/>
            <w:vMerge w:val="continue"/>
          </w:tcPr>
          <w:p>
            <w:pPr>
              <w:jc w:val="both"/>
              <w:rPr>
                <w:rFonts w:hint="eastAsia"/>
                <w:b/>
                <w:bCs/>
                <w:sz w:val="24"/>
                <w:szCs w:val="32"/>
                <w:vertAlign w:val="baseline"/>
                <w:lang w:val="en-US" w:eastAsia="zh-CN"/>
              </w:rPr>
            </w:pPr>
          </w:p>
        </w:tc>
        <w:tc>
          <w:tcPr>
            <w:tcW w:w="1918"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48.7</w:t>
            </w:r>
          </w:p>
        </w:tc>
        <w:tc>
          <w:tcPr>
            <w:tcW w:w="1919"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 40.5</w:t>
            </w:r>
          </w:p>
        </w:tc>
      </w:tr>
    </w:tbl>
    <w:p>
      <w:pPr>
        <w:jc w:val="both"/>
        <w:rPr>
          <w:rFonts w:hint="eastAsia"/>
          <w:b/>
          <w:bCs/>
          <w:sz w:val="24"/>
          <w:szCs w:val="32"/>
          <w:lang w:val="en-US" w:eastAsia="zh-CN"/>
        </w:rPr>
      </w:pPr>
    </w:p>
    <w:p>
      <w:pPr>
        <w:jc w:val="center"/>
        <w:rPr>
          <w:rFonts w:hint="eastAsia"/>
          <w:b/>
          <w:bCs/>
          <w:sz w:val="28"/>
          <w:szCs w:val="28"/>
          <w:lang w:val="en-US" w:eastAsia="zh-CN"/>
        </w:rPr>
      </w:pPr>
      <w:r>
        <w:rPr>
          <w:rFonts w:hint="eastAsia"/>
          <w:b/>
          <w:bCs/>
          <w:sz w:val="28"/>
          <w:szCs w:val="28"/>
          <w:lang w:val="en-US" w:eastAsia="zh-CN"/>
        </w:rPr>
        <w:t>工业固体废物的产生、贮存、流向和利用处置信息</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center"/>
              <w:rPr>
                <w:rFonts w:hint="eastAsia"/>
                <w:b/>
                <w:bCs/>
                <w:sz w:val="24"/>
                <w:szCs w:val="32"/>
                <w:vertAlign w:val="baseline"/>
                <w:lang w:val="en-US" w:eastAsia="zh-CN"/>
              </w:rPr>
            </w:pPr>
            <w:r>
              <w:rPr>
                <w:rFonts w:hint="eastAsia" w:ascii="宋体" w:hAnsi="宋体" w:eastAsia="宋体" w:cs="宋体"/>
                <w:b w:val="0"/>
                <w:bCs w:val="0"/>
                <w:sz w:val="21"/>
                <w:szCs w:val="21"/>
                <w:vertAlign w:val="baseline"/>
                <w:lang w:val="en-US" w:eastAsia="zh-CN"/>
              </w:rPr>
              <w:t>一般工业固体废物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有机污泥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有机污泥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成分</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有机物含聚丙烯酰胺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等级(一类或二类一般工业固体废物）</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每日产生量</w:t>
            </w:r>
          </w:p>
        </w:tc>
        <w:tc>
          <w:tcPr>
            <w:tcW w:w="4261" w:type="dxa"/>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每日贮存量</w:t>
            </w:r>
          </w:p>
        </w:tc>
        <w:tc>
          <w:tcPr>
            <w:tcW w:w="4261" w:type="dxa"/>
          </w:tcPr>
          <w:p>
            <w:pPr>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累计贮存量</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76.38t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利用处置方式</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卫生填埋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利用处置量</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398.34t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贮存、处置场所名称</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污泥阳光棚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设施的类型(一类或二类)</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贮存、处置场所面积</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贮存、处置场所经纬度坐标</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经度：89°04′21.88″ 纬度44°46′32.73″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受托方名称</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新疆准东市政服务有限公司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一般工业固体废物运输、利用、处置情况</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达到最大储存量联系委托方处置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名称</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在线监测废液、废润滑油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废物代码</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900-047-49；900-217-08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主要有害成分</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硫酸、有机化合物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危险特性</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毒性、易燃性、腐蚀性、反应性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累计贮存量</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0.7942t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利用处置方式</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利用处置量</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贮存、处置场所名称</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危废间暂存库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设施的类型(一类或二类)</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贮存、处置场所面积</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贮存、处置场所经纬度坐标</w:t>
            </w:r>
          </w:p>
        </w:tc>
        <w:tc>
          <w:tcPr>
            <w:tcW w:w="4261"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经度：89°05′08.293″ 纬度44°46′17.525″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受托方名称</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新疆新能源（集团）准东环境发展有限公司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61"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危险废物转移联单</w:t>
            </w:r>
          </w:p>
        </w:tc>
        <w:tc>
          <w:tcPr>
            <w:tcW w:w="4261"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按库存量定期处置</w:t>
            </w:r>
          </w:p>
        </w:tc>
      </w:tr>
    </w:tbl>
    <w:p>
      <w:pPr>
        <w:jc w:val="both"/>
        <w:rPr>
          <w:rFonts w:hint="eastAsia" w:ascii="宋体" w:hAnsi="宋体" w:eastAsia="宋体" w:cs="宋体"/>
          <w:b/>
          <w:bCs/>
          <w:sz w:val="24"/>
          <w:szCs w:val="32"/>
          <w:lang w:val="en-US" w:eastAsia="zh-CN"/>
        </w:rPr>
      </w:pPr>
    </w:p>
    <w:p>
      <w:pPr>
        <w:jc w:val="both"/>
        <w:rPr>
          <w:rFonts w:hint="eastAsia"/>
          <w:b/>
          <w:bCs/>
          <w:sz w:val="24"/>
          <w:szCs w:val="32"/>
          <w:lang w:val="en-US" w:eastAsia="zh-CN"/>
        </w:rPr>
      </w:pPr>
    </w:p>
    <w:p>
      <w:pPr>
        <w:numPr>
          <w:ilvl w:val="0"/>
          <w:numId w:val="0"/>
        </w:numPr>
        <w:rPr>
          <w:rFonts w:hint="default" w:ascii="黑体" w:hAnsi="黑体" w:eastAsia="黑体" w:cs="黑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6304E"/>
    <w:multiLevelType w:val="singleLevel"/>
    <w:tmpl w:val="B73630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TA3MWUxZjI5YzBlYzU3ZjU4YzEzNjUwNmFiOTAifQ=="/>
  </w:docVars>
  <w:rsids>
    <w:rsidRoot w:val="00000000"/>
    <w:rsid w:val="0EAE6FB6"/>
    <w:rsid w:val="20CC358C"/>
    <w:rsid w:val="21851F34"/>
    <w:rsid w:val="5FCD3483"/>
    <w:rsid w:val="79BD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2230</Words>
  <Characters>2512</Characters>
  <Lines>0</Lines>
  <Paragraphs>0</Paragraphs>
  <TotalTime>4</TotalTime>
  <ScaleCrop>false</ScaleCrop>
  <LinksUpToDate>false</LinksUpToDate>
  <CharactersWithSpaces>2637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2022-12-13T08:41:00Z</dcterms:created>
  <dc:creator>Administrator</dc:creator>
  <cp:lastModifiedBy>奢 余</cp:lastModifiedBy>
  <cp:lastPrinted>2022-12-14T11:13:42Z</cp:lastPrinted>
  <dcterms:modified xsi:type="dcterms:W3CDTF">2022-12-14T12:07:45Z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0B1C01BDE61D4505A7EEC16B31451808</vt:lpwstr>
  </property>
</Properties>
</file>