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rPr>
          <w:rFonts w:hint="eastAsia"/>
          <w:lang w:val="en-US" w:eastAsia="zh-CN"/>
        </w:rPr>
      </w:pPr>
    </w:p>
    <w:p>
      <w:pPr>
        <w:ind w:firstLine="2200" w:firstLineChars="5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企业环境信息依法披露</w:t>
      </w:r>
    </w:p>
    <w:p>
      <w:pPr>
        <w:ind w:firstLine="3080" w:firstLineChars="7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2022年度报告</w:t>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ind w:firstLine="960" w:firstLineChars="300"/>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企业名称</w:t>
      </w:r>
      <w:r>
        <w:rPr>
          <w:rFonts w:hint="eastAsia" w:ascii="宋体" w:hAnsi="宋体" w:eastAsia="宋体" w:cs="宋体"/>
          <w:sz w:val="36"/>
          <w:szCs w:val="36"/>
          <w:lang w:val="en-US" w:eastAsia="zh-CN"/>
        </w:rPr>
        <w:t>：新疆国信煤电能源有限公司</w:t>
      </w:r>
    </w:p>
    <w:p>
      <w:pPr>
        <w:ind w:firstLine="960" w:firstLineChars="300"/>
        <w:rPr>
          <w:rFonts w:hint="eastAsia" w:ascii="宋体" w:hAnsi="宋体" w:eastAsia="宋体" w:cs="宋体"/>
          <w:sz w:val="32"/>
          <w:szCs w:val="32"/>
          <w:lang w:val="en-US" w:eastAsia="zh-CN"/>
        </w:rPr>
      </w:pPr>
    </w:p>
    <w:p>
      <w:pPr>
        <w:ind w:firstLine="960" w:firstLineChars="300"/>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统一社会信用代码</w:t>
      </w:r>
      <w:r>
        <w:rPr>
          <w:rFonts w:hint="eastAsia" w:ascii="宋体" w:hAnsi="宋体" w:eastAsia="宋体" w:cs="宋体"/>
          <w:sz w:val="36"/>
          <w:szCs w:val="36"/>
          <w:lang w:val="en-US" w:eastAsia="zh-CN"/>
        </w:rPr>
        <w:t>：91652325560529033Y</w:t>
      </w:r>
    </w:p>
    <w:p>
      <w:pPr>
        <w:ind w:firstLine="960" w:firstLineChars="300"/>
        <w:rPr>
          <w:rFonts w:hint="eastAsia" w:ascii="宋体" w:hAnsi="宋体" w:eastAsia="宋体" w:cs="宋体"/>
          <w:sz w:val="32"/>
          <w:szCs w:val="32"/>
          <w:lang w:val="en-US" w:eastAsia="zh-CN"/>
        </w:rPr>
      </w:pPr>
    </w:p>
    <w:p>
      <w:pPr>
        <w:ind w:firstLine="960" w:firstLineChars="300"/>
        <w:rPr>
          <w:rFonts w:hint="default" w:ascii="宋体" w:hAnsi="宋体" w:eastAsia="宋体" w:cs="宋体"/>
          <w:sz w:val="36"/>
          <w:szCs w:val="36"/>
          <w:lang w:val="en-US" w:eastAsia="zh-CN"/>
        </w:rPr>
      </w:pPr>
      <w:r>
        <w:rPr>
          <w:rFonts w:hint="eastAsia" w:ascii="宋体" w:hAnsi="宋体" w:eastAsia="宋体" w:cs="宋体"/>
          <w:sz w:val="32"/>
          <w:szCs w:val="32"/>
          <w:lang w:val="en-US" w:eastAsia="zh-CN"/>
        </w:rPr>
        <w:t>编制日期</w:t>
      </w:r>
      <w:r>
        <w:rPr>
          <w:rFonts w:hint="eastAsia" w:ascii="宋体" w:hAnsi="宋体" w:eastAsia="宋体" w:cs="宋体"/>
          <w:sz w:val="36"/>
          <w:szCs w:val="36"/>
          <w:lang w:val="en-US" w:eastAsia="zh-CN"/>
        </w:rPr>
        <w:t>：2023年01月</w:t>
      </w: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720" w:firstLineChars="200"/>
        <w:rPr>
          <w:rFonts w:hint="default" w:ascii="宋体" w:hAnsi="宋体" w:eastAsia="宋体" w:cs="宋体"/>
          <w:sz w:val="32"/>
          <w:szCs w:val="32"/>
          <w:u w:val="none"/>
          <w:lang w:val="en-US" w:eastAsia="zh-CN"/>
        </w:rPr>
      </w:pPr>
      <w:r>
        <w:rPr>
          <w:rFonts w:hint="eastAsia" w:ascii="宋体" w:hAnsi="宋体" w:eastAsia="宋体" w:cs="宋体"/>
          <w:sz w:val="36"/>
          <w:szCs w:val="36"/>
          <w:lang w:val="en-US" w:eastAsia="zh-CN"/>
        </w:rPr>
        <w:t xml:space="preserve">                </w:t>
      </w:r>
      <w:r>
        <w:rPr>
          <w:rFonts w:hint="eastAsia" w:ascii="宋体" w:hAnsi="宋体" w:eastAsia="宋体" w:cs="宋体"/>
          <w:sz w:val="44"/>
          <w:szCs w:val="44"/>
          <w:lang w:val="en-US" w:eastAsia="zh-CN"/>
        </w:rPr>
        <w:t xml:space="preserve"> </w:t>
      </w:r>
    </w:p>
    <w:p>
      <w:pPr>
        <w:ind w:firstLine="1080" w:firstLineChars="300"/>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drawing>
          <wp:inline distT="0" distB="0" distL="114300" distR="114300">
            <wp:extent cx="5267960" cy="7453630"/>
            <wp:effectExtent l="0" t="0" r="8890" b="13970"/>
            <wp:docPr id="3" name="图片 3" descr="新疆协信环境依法披露承诺书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疆协信环境依法披露承诺书_00"/>
                    <pic:cNvPicPr>
                      <a:picLocks noChangeAspect="1"/>
                    </pic:cNvPicPr>
                  </pic:nvPicPr>
                  <pic:blipFill>
                    <a:blip r:embed="rId4"/>
                    <a:stretch>
                      <a:fillRect/>
                    </a:stretch>
                  </pic:blipFill>
                  <pic:spPr>
                    <a:xfrm>
                      <a:off x="0" y="0"/>
                      <a:ext cx="5267960" cy="7453630"/>
                    </a:xfrm>
                    <a:prstGeom prst="rect">
                      <a:avLst/>
                    </a:prstGeom>
                  </pic:spPr>
                </pic:pic>
              </a:graphicData>
            </a:graphic>
          </wp:inline>
        </w:drawing>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ind w:firstLine="2209" w:firstLineChars="5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关键环境信息摘要</w:t>
      </w:r>
    </w:p>
    <w:p>
      <w:p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一、企业遵守生态环境法律法规情况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公司在生产经营过程中严格遵守《中华人民共和国环境保护法》、《中华人民共和国环境影响评价法》、《中华人民共和国大气污染防治法》、《中华人民共和国水污染防治法》、《中华人民共和国固体废物污染环境防治法》、《中华人民共和国噪声污染防治法》、《建设项目环境保护管理条例》、《排污许可管理条例》、《企业环境信息依法披露管理办法》、《企事业单位环境信息公开办法》。</w:t>
      </w:r>
    </w:p>
    <w:p>
      <w:pPr>
        <w:numPr>
          <w:ilvl w:val="0"/>
          <w:numId w:val="1"/>
        </w:num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生态环境行政许可变更情况</w:t>
      </w:r>
    </w:p>
    <w:p>
      <w:pPr>
        <w:numPr>
          <w:ilvl w:val="0"/>
          <w:numId w:val="0"/>
        </w:numPr>
        <w:rPr>
          <w:rFonts w:hint="eastAsia" w:ascii="宋体" w:hAnsi="宋体" w:eastAsia="宋体" w:cs="宋体"/>
          <w:sz w:val="32"/>
          <w:szCs w:val="32"/>
          <w:lang w:val="en-US" w:eastAsia="zh-CN"/>
        </w:rPr>
      </w:pPr>
      <w:r>
        <w:rPr>
          <w:rFonts w:hint="eastAsia" w:ascii="宋体" w:hAnsi="宋体" w:eastAsia="宋体" w:cs="宋体"/>
          <w:sz w:val="36"/>
          <w:szCs w:val="36"/>
          <w:lang w:val="en-US" w:eastAsia="zh-CN"/>
        </w:rPr>
        <w:t xml:space="preserve">    </w:t>
      </w:r>
      <w:r>
        <w:rPr>
          <w:rFonts w:hint="eastAsia" w:ascii="宋体" w:hAnsi="宋体" w:eastAsia="宋体" w:cs="宋体"/>
          <w:sz w:val="32"/>
          <w:szCs w:val="32"/>
          <w:lang w:val="en-US" w:eastAsia="zh-CN"/>
        </w:rPr>
        <w:t>新疆国信煤电能源有限公司于2021年06月因排污许可证到期，新疆国信按要求对排污许可证进行了延续，并通过相关环保部门的审核；2022年09月至11月按昌吉州生态厅、昌吉准东环保局的要求，对照规范对排污许可证内涉及内容进行的全面变更并通过专家审核及环保部门审批。</w:t>
      </w:r>
    </w:p>
    <w:p>
      <w:pPr>
        <w:numPr>
          <w:ilvl w:val="0"/>
          <w:numId w:val="1"/>
        </w:numPr>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污染物排放情况</w:t>
      </w:r>
    </w:p>
    <w:p>
      <w:pPr>
        <w:numPr>
          <w:ilvl w:val="0"/>
          <w:numId w:val="0"/>
        </w:numPr>
        <w:ind w:leftChars="0"/>
        <w:rPr>
          <w:rFonts w:hint="default" w:ascii="宋体" w:hAnsi="宋体" w:eastAsia="宋体" w:cs="宋体"/>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宋体" w:hAnsi="宋体" w:eastAsia="宋体" w:cs="宋体"/>
          <w:sz w:val="32"/>
          <w:szCs w:val="32"/>
          <w:lang w:val="en-US" w:eastAsia="zh-CN"/>
        </w:rPr>
        <w:t>截止2022年11月30日，新疆国信全年按超低排放标准严格污染物排放，排放量分别：NOx:841.23吨，SO2:328.2吨，颗粒物：79.89吨。年平均排放浓度分别为：1号机组SO2、NOx、颗粒物排放浓度分别为13.08mg/Nm3、34.18mg/Nm3、4.30mg/Nm3；2号机组SO2、NOx、颗粒物排放浓度分别为11.28mg/Nm3、33.17mg/Nm3、1.96mg/Nm3。</w:t>
      </w:r>
    </w:p>
    <w:p>
      <w:pPr>
        <w:numPr>
          <w:ilvl w:val="0"/>
          <w:numId w:val="0"/>
        </w:numPr>
        <w:ind w:leftChars="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企业基本信息</w:t>
      </w:r>
    </w:p>
    <w:tbl>
      <w:tblPr>
        <w:tblStyle w:val="5"/>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250"/>
        <w:gridCol w:w="244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企业名称</w:t>
            </w:r>
          </w:p>
        </w:tc>
        <w:tc>
          <w:tcPr>
            <w:tcW w:w="2250" w:type="dxa"/>
          </w:tcPr>
          <w:p>
            <w:pPr>
              <w:numPr>
                <w:ilvl w:val="0"/>
                <w:numId w:val="0"/>
              </w:numPr>
              <w:jc w:val="center"/>
              <w:rPr>
                <w:rFonts w:hint="eastAsia" w:ascii="黑体" w:hAnsi="黑体" w:eastAsia="黑体" w:cs="黑体"/>
                <w:b w:val="0"/>
                <w:bCs w:val="0"/>
                <w:sz w:val="21"/>
                <w:szCs w:val="21"/>
                <w:vertAlign w:val="baseline"/>
                <w:lang w:val="en-US" w:eastAsia="zh-CN"/>
              </w:rPr>
            </w:pPr>
          </w:p>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新疆国信煤电能源有限公司</w:t>
            </w:r>
          </w:p>
        </w:tc>
        <w:tc>
          <w:tcPr>
            <w:tcW w:w="244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法定代表人</w:t>
            </w:r>
          </w:p>
        </w:tc>
        <w:tc>
          <w:tcPr>
            <w:tcW w:w="1905" w:type="dxa"/>
          </w:tcPr>
          <w:p>
            <w:pPr>
              <w:numPr>
                <w:ilvl w:val="0"/>
                <w:numId w:val="0"/>
              </w:numPr>
              <w:jc w:val="center"/>
              <w:rPr>
                <w:rFonts w:hint="eastAsia" w:ascii="黑体" w:hAnsi="黑体" w:eastAsia="黑体" w:cs="黑体"/>
                <w:b w:val="0"/>
                <w:bCs w:val="0"/>
                <w:sz w:val="21"/>
                <w:szCs w:val="21"/>
                <w:vertAlign w:val="baseline"/>
                <w:lang w:val="en-US" w:eastAsia="zh-CN"/>
              </w:rPr>
            </w:pPr>
          </w:p>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李宏军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注册地址</w:t>
            </w:r>
          </w:p>
        </w:tc>
        <w:tc>
          <w:tcPr>
            <w:tcW w:w="2250"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新疆昌吉奇台县</w:t>
            </w:r>
          </w:p>
        </w:tc>
        <w:tc>
          <w:tcPr>
            <w:tcW w:w="2445"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生产地址</w:t>
            </w:r>
          </w:p>
        </w:tc>
        <w:tc>
          <w:tcPr>
            <w:tcW w:w="190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新疆昌吉准东西黑山产业园鑫四路9号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行业类别</w:t>
            </w:r>
          </w:p>
        </w:tc>
        <w:tc>
          <w:tcPr>
            <w:tcW w:w="2250" w:type="dxa"/>
          </w:tcPr>
          <w:p>
            <w:pPr>
              <w:numPr>
                <w:ilvl w:val="0"/>
                <w:numId w:val="0"/>
              </w:numPr>
              <w:ind w:firstLine="630" w:firstLineChars="300"/>
              <w:jc w:val="both"/>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火力发电</w:t>
            </w:r>
          </w:p>
        </w:tc>
        <w:tc>
          <w:tcPr>
            <w:tcW w:w="2445"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企业性质</w:t>
            </w:r>
          </w:p>
        </w:tc>
        <w:tc>
          <w:tcPr>
            <w:tcW w:w="190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企业联系人</w:t>
            </w:r>
          </w:p>
        </w:tc>
        <w:tc>
          <w:tcPr>
            <w:tcW w:w="2250" w:type="dxa"/>
            <w:vAlign w:val="center"/>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赵永升</w:t>
            </w:r>
          </w:p>
        </w:tc>
        <w:tc>
          <w:tcPr>
            <w:tcW w:w="2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联系方式</w:t>
            </w:r>
          </w:p>
        </w:tc>
        <w:tc>
          <w:tcPr>
            <w:tcW w:w="1905" w:type="dxa"/>
          </w:tcPr>
          <w:p>
            <w:pPr>
              <w:numPr>
                <w:ilvl w:val="0"/>
                <w:numId w:val="0"/>
              </w:numPr>
              <w:rPr>
                <w:rFonts w:hint="eastAsia" w:ascii="黑体" w:hAnsi="黑体" w:eastAsia="黑体" w:cs="黑体"/>
                <w:b w:val="0"/>
                <w:bCs w:val="0"/>
                <w:sz w:val="21"/>
                <w:szCs w:val="21"/>
                <w:vertAlign w:val="baseline"/>
                <w:lang w:val="en-US" w:eastAsia="zh-CN"/>
              </w:rPr>
            </w:pPr>
          </w:p>
          <w:p>
            <w:pPr>
              <w:numPr>
                <w:ilvl w:val="0"/>
                <w:numId w:val="0"/>
              </w:numP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18709999885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是否重点排污单位</w:t>
            </w:r>
          </w:p>
        </w:tc>
        <w:tc>
          <w:tcPr>
            <w:tcW w:w="2250" w:type="dxa"/>
          </w:tcPr>
          <w:p>
            <w:pPr>
              <w:numPr>
                <w:ilvl w:val="0"/>
                <w:numId w:val="0"/>
              </w:numPr>
              <w:ind w:firstLine="840" w:firstLineChars="400"/>
              <w:jc w:val="both"/>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是</w:t>
            </w:r>
          </w:p>
        </w:tc>
        <w:tc>
          <w:tcPr>
            <w:tcW w:w="2445"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是否实施强制性清洁生产审核的企业</w:t>
            </w:r>
          </w:p>
        </w:tc>
        <w:tc>
          <w:tcPr>
            <w:tcW w:w="1905" w:type="dxa"/>
          </w:tcPr>
          <w:p>
            <w:pPr>
              <w:numPr>
                <w:ilvl w:val="0"/>
                <w:numId w:val="0"/>
              </w:numP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 xml:space="preserve">  </w:t>
            </w:r>
            <w:r>
              <w:rPr>
                <w:rFonts w:hint="eastAsia" w:ascii="黑体" w:hAnsi="黑体" w:eastAsia="黑体" w:cs="黑体"/>
                <w:b w:val="0"/>
                <w:bCs w:val="0"/>
                <w:sz w:val="21"/>
                <w:szCs w:val="21"/>
                <w:vertAlign w:val="baseline"/>
                <w:lang w:val="en-US" w:eastAsia="zh-CN"/>
              </w:rPr>
              <w:t xml:space="preserve">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0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产品与服务</w:t>
            </w:r>
          </w:p>
        </w:tc>
        <w:tc>
          <w:tcPr>
            <w:tcW w:w="2250"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电力</w:t>
            </w:r>
          </w:p>
        </w:tc>
        <w:tc>
          <w:tcPr>
            <w:tcW w:w="244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生产工艺的名称</w:t>
            </w:r>
          </w:p>
        </w:tc>
        <w:tc>
          <w:tcPr>
            <w:tcW w:w="1905"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火力发电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801"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生产工艺情况</w:t>
            </w:r>
          </w:p>
        </w:tc>
        <w:tc>
          <w:tcPr>
            <w:tcW w:w="6600" w:type="dxa"/>
            <w:gridSpan w:val="3"/>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32"/>
                <w:szCs w:val="32"/>
                <w:vertAlign w:val="baseline"/>
                <w:lang w:val="en-US" w:eastAsia="zh-CN"/>
              </w:rPr>
            </w:pPr>
            <w:r>
              <w:rPr>
                <w:rFonts w:hint="eastAsia" w:ascii="黑体" w:hAnsi="黑体" w:eastAsia="黑体" w:cs="黑体"/>
                <w:b w:val="0"/>
                <w:bCs w:val="0"/>
                <w:sz w:val="21"/>
                <w:szCs w:val="21"/>
                <w:vertAlign w:val="baseline"/>
                <w:lang w:val="en-US" w:eastAsia="zh-CN"/>
              </w:rPr>
              <w:t>是将煤碳通过锅炉燃烧产生高温高压蒸汽，蒸汽通过在汽轮机做功再通过发电机最终转化为电力。</w:t>
            </w:r>
          </w:p>
        </w:tc>
      </w:tr>
    </w:tbl>
    <w:p>
      <w:pPr>
        <w:numPr>
          <w:ilvl w:val="0"/>
          <w:numId w:val="0"/>
        </w:numPr>
        <w:ind w:firstLine="2880" w:firstLineChars="900"/>
        <w:rPr>
          <w:rFonts w:hint="eastAsia" w:ascii="黑体" w:hAnsi="黑体" w:eastAsia="黑体" w:cs="黑体"/>
          <w:b w:val="0"/>
          <w:bCs w:val="0"/>
          <w:sz w:val="32"/>
          <w:szCs w:val="32"/>
          <w:lang w:val="en-US" w:eastAsia="zh-CN"/>
        </w:rPr>
      </w:pPr>
    </w:p>
    <w:p>
      <w:pPr>
        <w:numPr>
          <w:ilvl w:val="0"/>
          <w:numId w:val="0"/>
        </w:numPr>
        <w:ind w:firstLine="2880" w:firstLineChars="9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企业环境管理信息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许可名称</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获得许可的审批文件</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核发机关</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获取时间</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建设项目环境影响评价</w:t>
            </w:r>
          </w:p>
        </w:tc>
        <w:tc>
          <w:tcPr>
            <w:tcW w:w="1704"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环审［2014］240号</w:t>
            </w:r>
          </w:p>
        </w:tc>
        <w:tc>
          <w:tcPr>
            <w:tcW w:w="1704"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中华人民共和国环境保护部</w:t>
            </w:r>
          </w:p>
        </w:tc>
        <w:tc>
          <w:tcPr>
            <w:tcW w:w="1705"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2014年09月16日</w:t>
            </w:r>
          </w:p>
        </w:tc>
        <w:tc>
          <w:tcPr>
            <w:tcW w:w="1705" w:type="dxa"/>
          </w:tcPr>
          <w:p>
            <w:pPr>
              <w:numPr>
                <w:ilvl w:val="0"/>
                <w:numId w:val="0"/>
              </w:numPr>
              <w:jc w:val="center"/>
              <w:rPr>
                <w:rFonts w:hint="eastAsia" w:ascii="黑体" w:hAnsi="黑体" w:eastAsia="黑体" w:cs="黑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w:t>
            </w:r>
          </w:p>
        </w:tc>
        <w:tc>
          <w:tcPr>
            <w:tcW w:w="1704"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91652325560529033Y001P</w:t>
            </w:r>
          </w:p>
        </w:tc>
        <w:tc>
          <w:tcPr>
            <w:tcW w:w="1704"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新疆准东经济开发区环境保护局</w:t>
            </w:r>
          </w:p>
        </w:tc>
        <w:tc>
          <w:tcPr>
            <w:tcW w:w="1705"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2017年11月5日首次审领2021年05月31延续</w:t>
            </w:r>
          </w:p>
        </w:tc>
        <w:tc>
          <w:tcPr>
            <w:tcW w:w="170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第一次三年</w:t>
            </w:r>
          </w:p>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第二次五年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w:t>
            </w:r>
          </w:p>
        </w:tc>
        <w:tc>
          <w:tcPr>
            <w:tcW w:w="1704"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XJGXMDNYA/0-2021-01</w:t>
            </w:r>
          </w:p>
        </w:tc>
        <w:tc>
          <w:tcPr>
            <w:tcW w:w="1704"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新疆准东经济开发区环境保护局</w:t>
            </w:r>
          </w:p>
        </w:tc>
        <w:tc>
          <w:tcPr>
            <w:tcW w:w="170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2018年10月</w:t>
            </w:r>
          </w:p>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2021年9月</w:t>
            </w:r>
          </w:p>
        </w:tc>
        <w:tc>
          <w:tcPr>
            <w:tcW w:w="1705"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主要许可事项</w:t>
            </w:r>
          </w:p>
        </w:tc>
        <w:tc>
          <w:tcPr>
            <w:tcW w:w="6818" w:type="dxa"/>
            <w:gridSpan w:val="4"/>
          </w:tcPr>
          <w:p>
            <w:pPr>
              <w:numPr>
                <w:ilvl w:val="0"/>
                <w:numId w:val="0"/>
              </w:numP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1"/>
                <w:szCs w:val="21"/>
                <w:vertAlign w:val="baseline"/>
                <w:lang w:val="en-US" w:eastAsia="zh-CN"/>
              </w:rPr>
              <w:t>按火力发电厂大气污染排放标准GB 13223-2011及综合排放标准GB 16297-1996，挥发性有组织、无组织排放控制标准GB 37822-2019进行排放。</w:t>
            </w:r>
          </w:p>
        </w:tc>
      </w:tr>
    </w:tbl>
    <w:p>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1"/>
          <w:szCs w:val="21"/>
          <w:lang w:val="en-US" w:eastAsia="zh-CN"/>
        </w:rPr>
        <w:t>表格根据实际情况可以调节</w:t>
      </w:r>
    </w:p>
    <w:p>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p>
    <w:p>
      <w:pPr>
        <w:numPr>
          <w:ilvl w:val="0"/>
          <w:numId w:val="0"/>
        </w:numPr>
        <w:rPr>
          <w:rFonts w:hint="eastAsia" w:ascii="黑体" w:hAnsi="黑体" w:eastAsia="黑体" w:cs="黑体"/>
          <w:b w:val="0"/>
          <w:bCs w:val="0"/>
          <w:sz w:val="28"/>
          <w:szCs w:val="28"/>
          <w:lang w:val="en-US" w:eastAsia="zh-CN"/>
        </w:rPr>
      </w:pPr>
    </w:p>
    <w:p>
      <w:pPr>
        <w:numPr>
          <w:ilvl w:val="0"/>
          <w:numId w:val="0"/>
        </w:numPr>
        <w:ind w:firstLine="1680" w:firstLineChars="600"/>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32"/>
          <w:szCs w:val="32"/>
          <w:lang w:val="en-US" w:eastAsia="zh-CN"/>
        </w:rPr>
        <w:t xml:space="preserve"> 环境保护税缴纳信息</w:t>
      </w:r>
      <w:r>
        <w:rPr>
          <w:rFonts w:hint="eastAsia" w:ascii="黑体" w:hAnsi="黑体" w:eastAsia="黑体" w:cs="黑体"/>
          <w:b w:val="0"/>
          <w:bCs w:val="0"/>
          <w:sz w:val="28"/>
          <w:szCs w:val="28"/>
          <w:lang w:val="en-US" w:eastAsia="zh-CN"/>
        </w:rPr>
        <w:t xml:space="preserve">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环境保护税分税目缴纳额</w:t>
            </w:r>
          </w:p>
        </w:tc>
        <w:tc>
          <w:tcPr>
            <w:tcW w:w="3796"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126.395万元（前三季度）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实际缴纳总额</w:t>
            </w:r>
          </w:p>
        </w:tc>
        <w:tc>
          <w:tcPr>
            <w:tcW w:w="3796"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63.1975万元（前三季度）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依法依规享受税收减征或免征的情况</w:t>
            </w:r>
          </w:p>
        </w:tc>
        <w:tc>
          <w:tcPr>
            <w:tcW w:w="379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63.1975万元（前三季度）</w:t>
            </w:r>
          </w:p>
        </w:tc>
      </w:tr>
    </w:tbl>
    <w:p>
      <w:pPr>
        <w:numPr>
          <w:ilvl w:val="0"/>
          <w:numId w:val="0"/>
        </w:numPr>
        <w:rPr>
          <w:rFonts w:hint="eastAsia" w:ascii="黑体" w:hAnsi="黑体" w:eastAsia="黑体" w:cs="黑体"/>
          <w:b w:val="0"/>
          <w:bCs w:val="0"/>
          <w:sz w:val="28"/>
          <w:szCs w:val="28"/>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32"/>
          <w:szCs w:val="32"/>
          <w:lang w:val="en-US" w:eastAsia="zh-CN"/>
        </w:rPr>
        <w:t xml:space="preserve">   污染物产生、治理与排放信息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污染防治设施的名称</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1号、2号锅炉脱硝系统</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1号2号锅炉电除尘系统</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1号2号锅炉脱硫系统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对应的产污环节</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减少NOx排放</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减少颗粒物排放</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减少S02排放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处理的污染物</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NOx</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颗粒物</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对应排污口的名称</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1号、2号脱硫出口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对应排污口的编号</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DA001、DA002</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DA001、DA002</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DA001、DA002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排放的污染物次数、日期及时长</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随机组运行投运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排放的污染物主要原因</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发电产生</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发电产生</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发电产生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污染防治设施运行维护情况</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正常</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正常</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正常</w:t>
            </w:r>
          </w:p>
        </w:tc>
      </w:tr>
    </w:tbl>
    <w:p>
      <w:pPr>
        <w:numPr>
          <w:ilvl w:val="0"/>
          <w:numId w:val="0"/>
        </w:numPr>
        <w:rPr>
          <w:rFonts w:hint="eastAsia" w:ascii="宋体" w:hAnsi="宋体" w:eastAsia="宋体" w:cs="宋体"/>
          <w:b w:val="0"/>
          <w:bCs w:val="0"/>
          <w:sz w:val="28"/>
          <w:szCs w:val="28"/>
          <w:lang w:val="en-US" w:eastAsia="zh-CN"/>
        </w:rPr>
      </w:pPr>
    </w:p>
    <w:p>
      <w:pPr>
        <w:numPr>
          <w:ilvl w:val="0"/>
          <w:numId w:val="0"/>
        </w:numPr>
        <w:ind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排污许可执行报告</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排污许可证管理类别</w:t>
            </w:r>
          </w:p>
        </w:tc>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重点管理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执行报告应编制公开的次数</w:t>
            </w:r>
          </w:p>
        </w:tc>
        <w:tc>
          <w:tcPr>
            <w:tcW w:w="4261"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实际编制公开的次数</w:t>
            </w:r>
          </w:p>
        </w:tc>
        <w:tc>
          <w:tcPr>
            <w:tcW w:w="4261"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14次（四季度及年报未到期）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发布信息</w:t>
            </w:r>
          </w:p>
        </w:tc>
        <w:tc>
          <w:tcPr>
            <w:tcW w:w="4261" w:type="dxa"/>
          </w:tcPr>
          <w:p>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14次</w:t>
            </w:r>
          </w:p>
        </w:tc>
      </w:tr>
    </w:tbl>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生态环境应急信息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w:t>
            </w:r>
          </w:p>
        </w:tc>
        <w:tc>
          <w:tcPr>
            <w:tcW w:w="4261" w:type="dxa"/>
          </w:tcPr>
          <w:p>
            <w:pPr>
              <w:numPr>
                <w:ilvl w:val="0"/>
                <w:numId w:val="0"/>
              </w:numPr>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新疆国信煤电能源有限公司突发环境事件应急预案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备案机关</w:t>
            </w:r>
          </w:p>
        </w:tc>
        <w:tc>
          <w:tcPr>
            <w:tcW w:w="4261" w:type="dxa"/>
          </w:tcPr>
          <w:p>
            <w:pPr>
              <w:numPr>
                <w:ilvl w:val="0"/>
                <w:numId w:val="0"/>
              </w:numPr>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新疆准东经济开发区环境保护局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备案编号</w:t>
            </w:r>
          </w:p>
        </w:tc>
        <w:tc>
          <w:tcPr>
            <w:tcW w:w="4261" w:type="dxa"/>
          </w:tcPr>
          <w:p>
            <w:pPr>
              <w:numPr>
                <w:ilvl w:val="0"/>
                <w:numId w:val="0"/>
              </w:numPr>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652327-2021-30-L</w:t>
            </w:r>
          </w:p>
        </w:tc>
      </w:tr>
    </w:tbl>
    <w:p>
      <w:pPr>
        <w:numPr>
          <w:ilvl w:val="0"/>
          <w:numId w:val="0"/>
        </w:numPr>
        <w:rPr>
          <w:rFonts w:hint="default"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28"/>
          <w:szCs w:val="28"/>
          <w:lang w:val="en-US" w:eastAsia="zh-CN"/>
        </w:rPr>
        <w:t>重污染天气应急响应情况</w:t>
      </w:r>
    </w:p>
    <w:tbl>
      <w:tblPr>
        <w:tblStyle w:val="5"/>
        <w:tblW w:w="12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8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重污染天气应急预案编制情况</w:t>
            </w:r>
          </w:p>
        </w:tc>
        <w:tc>
          <w:tcPr>
            <w:tcW w:w="4280" w:type="dxa"/>
            <w:vAlign w:val="top"/>
          </w:tcPr>
          <w:p>
            <w:pP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已完成编制</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一厂一策公示牌落实情况</w:t>
            </w:r>
          </w:p>
        </w:tc>
        <w:tc>
          <w:tcPr>
            <w:tcW w:w="4280" w:type="dxa"/>
            <w:vAlign w:val="top"/>
          </w:tcPr>
          <w:p>
            <w:pP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已落实，滚动屏幕已进行播放</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p>
        </w:tc>
      </w:tr>
    </w:tbl>
    <w:p>
      <w:pPr>
        <w:jc w:val="center"/>
        <w:rPr>
          <w:rFonts w:hint="eastAsia"/>
          <w:b/>
          <w:bCs/>
          <w:sz w:val="24"/>
          <w:szCs w:val="32"/>
          <w:lang w:val="en-US" w:eastAsia="zh-CN"/>
        </w:rPr>
      </w:pPr>
    </w:p>
    <w:tbl>
      <w:tblPr>
        <w:tblStyle w:val="5"/>
        <w:tblpPr w:leftFromText="180" w:rightFromText="180" w:vertAnchor="page" w:horzAnchor="page" w:tblpX="2085" w:tblpY="1728"/>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val="en-US" w:eastAsia="zh-CN"/>
              </w:rPr>
            </w:pPr>
            <w:r>
              <w:rPr>
                <w:rFonts w:hint="eastAsia" w:ascii="黑体" w:hAnsi="黑体" w:eastAsia="黑体" w:cs="黑体"/>
                <w:b/>
                <w:bCs/>
                <w:sz w:val="24"/>
                <w:szCs w:val="24"/>
                <w:vertAlign w:val="baseline"/>
                <w:lang w:val="en-US" w:eastAsia="zh-CN"/>
              </w:rPr>
              <w:t>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大气污染物名称</w:t>
            </w: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NOx、颗粒物、S02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大气污染物排污口的数量</w:t>
            </w: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lang w:eastAsia="zh-CN"/>
              </w:rPr>
            </w:pPr>
          </w:p>
          <w:p>
            <w:pPr>
              <w:jc w:val="left"/>
              <w:rPr>
                <w:rFonts w:hint="eastAsia" w:ascii="黑体" w:hAnsi="黑体" w:eastAsia="黑体" w:cs="黑体"/>
                <w:vertAlign w:val="baseline"/>
              </w:rPr>
            </w:pPr>
            <w:r>
              <w:rPr>
                <w:rFonts w:hint="eastAsia" w:ascii="黑体" w:hAnsi="黑体" w:eastAsia="黑体" w:cs="黑体"/>
                <w:vertAlign w:val="baseline"/>
                <w:lang w:eastAsia="zh-CN"/>
              </w:rPr>
              <w:t>主要排污口各项污染物的实际排放总量</w:t>
            </w: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NOx:841.23吨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SO2:328.2吨，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val="en-US" w:eastAsia="zh-CN"/>
              </w:rPr>
              <w:t>颗粒物：79.89吨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rPr>
            </w:pPr>
          </w:p>
          <w:p>
            <w:pPr>
              <w:bidi w:val="0"/>
              <w:jc w:val="left"/>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大气污染物小时浓度的年度平均值</w:t>
            </w: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1号机组NOx浓度为:</w:t>
            </w:r>
            <w:bookmarkStart w:id="0" w:name="_GoBack"/>
            <w:bookmarkEnd w:id="0"/>
            <w:r>
              <w:rPr>
                <w:rFonts w:hint="eastAsia" w:ascii="黑体" w:hAnsi="黑体" w:eastAsia="黑体" w:cs="黑体"/>
                <w:vertAlign w:val="baseline"/>
                <w:lang w:val="en-US" w:eastAsia="zh-CN"/>
              </w:rPr>
              <w:t>Nm34.30mg/Nm3；2号机组NOx、33.17mg/Nm3。</w:t>
            </w:r>
          </w:p>
          <w:p>
            <w:pPr>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1号机组SO2：13.08mg/Nm3、2号机组SO2：11.28mg/Nm3、</w:t>
            </w:r>
          </w:p>
          <w:p>
            <w:pPr>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jc w:val="left"/>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1号机组颗粒物排放浓度为：4.30mg/Nm3；2号机组1.96mg/Nm3。</w:t>
            </w:r>
          </w:p>
          <w:p>
            <w:pPr>
              <w:jc w:val="left"/>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各排污口安装污染源在线自动监测设备及与生态环境部门联网情况</w:t>
            </w:r>
          </w:p>
        </w:tc>
        <w:tc>
          <w:tcPr>
            <w:tcW w:w="3348" w:type="dxa"/>
          </w:tcPr>
          <w:p>
            <w:pPr>
              <w:jc w:val="left"/>
              <w:rPr>
                <w:rFonts w:hint="eastAsia" w:ascii="黑体" w:hAnsi="黑体" w:eastAsia="黑体" w:cs="黑体"/>
                <w:vertAlign w:val="baseline"/>
                <w:lang w:eastAsia="zh-CN"/>
              </w:rPr>
            </w:pPr>
            <w:r>
              <w:rPr>
                <w:rFonts w:hint="eastAsia" w:ascii="黑体" w:hAnsi="黑体" w:eastAsia="黑体" w:cs="黑体"/>
                <w:vertAlign w:val="baseli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vertAlign w:val="baseline"/>
              </w:rPr>
            </w:pPr>
            <w:r>
              <w:rPr>
                <w:rFonts w:hint="eastAsia" w:ascii="黑体" w:hAnsi="黑体" w:eastAsia="黑体" w:cs="黑体"/>
                <w:b/>
                <w:bCs/>
                <w:sz w:val="24"/>
                <w:szCs w:val="24"/>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无组织排放污染物名称</w:t>
            </w:r>
          </w:p>
        </w:tc>
        <w:tc>
          <w:tcPr>
            <w:tcW w:w="3348" w:type="dxa"/>
          </w:tcPr>
          <w:p>
            <w:pPr>
              <w:rPr>
                <w:rFonts w:hint="default" w:eastAsiaTheme="minorEastAsia"/>
                <w:vertAlign w:val="baseline"/>
                <w:lang w:val="en-US" w:eastAsia="zh-CN"/>
              </w:rPr>
            </w:pPr>
            <w:r>
              <w:rPr>
                <w:rFonts w:hint="eastAsia" w:ascii="黑体" w:hAnsi="黑体" w:eastAsia="黑体" w:cs="黑体"/>
                <w:vertAlign w:val="baseline"/>
                <w:lang w:val="en-US" w:eastAsia="zh-CN"/>
              </w:rPr>
              <w:t>颗粒物、非甲烷总烃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无组织排放监测点位名称</w:t>
            </w:r>
          </w:p>
        </w:tc>
        <w:tc>
          <w:tcPr>
            <w:tcW w:w="3348" w:type="dxa"/>
          </w:tcPr>
          <w:p>
            <w:pPr>
              <w:rPr>
                <w:rFonts w:hint="default" w:eastAsiaTheme="minorEastAsia"/>
                <w:vertAlign w:val="baseline"/>
                <w:lang w:val="en-US" w:eastAsia="zh-CN"/>
              </w:rPr>
            </w:pPr>
            <w:r>
              <w:rPr>
                <w:rFonts w:hint="eastAsia"/>
                <w:vertAlign w:val="baseline"/>
                <w:lang w:val="en-US" w:eastAsia="zh-CN"/>
              </w:rPr>
              <w:t>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464" w:type="dxa"/>
          </w:tcPr>
          <w:p>
            <w:pPr>
              <w:jc w:val="left"/>
              <w:rPr>
                <w:rFonts w:hint="eastAsia" w:ascii="黑体" w:hAnsi="黑体" w:eastAsia="黑体" w:cs="黑体"/>
                <w:vertAlign w:val="baseline"/>
              </w:rPr>
            </w:pPr>
          </w:p>
          <w:p>
            <w:pPr>
              <w:jc w:val="left"/>
              <w:rPr>
                <w:rFonts w:hint="eastAsia" w:ascii="黑体" w:hAnsi="黑体" w:eastAsia="黑体" w:cs="黑体"/>
                <w:vertAlign w:val="baseline"/>
              </w:rPr>
            </w:pPr>
            <w:r>
              <w:rPr>
                <w:rFonts w:hint="eastAsia" w:ascii="黑体" w:hAnsi="黑体" w:eastAsia="黑体" w:cs="黑体"/>
                <w:vertAlign w:val="baseline"/>
              </w:rPr>
              <w:t>各监测点位主要大气污染物实际排放浓度</w:t>
            </w:r>
          </w:p>
        </w:tc>
        <w:tc>
          <w:tcPr>
            <w:tcW w:w="3348" w:type="dxa"/>
          </w:tcPr>
          <w:p>
            <w:pP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颗粒物最大值：0.31mg/m3</w:t>
            </w:r>
          </w:p>
          <w:p>
            <w:pP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非甲烷总烃最大值：1.30mg/m3</w:t>
            </w:r>
          </w:p>
          <w:p>
            <w:pPr>
              <w:rPr>
                <w:vertAlign w:val="baseline"/>
              </w:rPr>
            </w:pPr>
            <w:r>
              <w:rPr>
                <w:rFonts w:hint="eastAsia" w:ascii="黑体" w:hAnsi="黑体" w:eastAsia="黑体" w:cs="黑体"/>
                <w:vertAlign w:val="baseline"/>
                <w:lang w:val="en-US" w:eastAsia="zh-CN"/>
              </w:rPr>
              <w:t>氨最大值：1.0mg/m3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eastAsia="zh-CN"/>
              </w:rPr>
            </w:pPr>
            <w:r>
              <w:rPr>
                <w:rFonts w:hint="eastAsia" w:ascii="黑体" w:hAnsi="黑体" w:eastAsia="黑体" w:cs="黑体"/>
                <w:b/>
                <w:bCs/>
                <w:sz w:val="24"/>
                <w:szCs w:val="24"/>
                <w:vertAlign w:val="baseline"/>
                <w:lang w:eastAsia="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全年生产天数</w:t>
            </w:r>
          </w:p>
        </w:tc>
        <w:tc>
          <w:tcPr>
            <w:tcW w:w="3348" w:type="dxa"/>
          </w:tcPr>
          <w:p>
            <w:pPr>
              <w:rPr>
                <w:rFonts w:hint="default" w:eastAsiaTheme="minorEastAsia"/>
                <w:vertAlign w:val="baseline"/>
                <w:lang w:val="en-US" w:eastAsia="zh-CN"/>
              </w:rPr>
            </w:pPr>
            <w:r>
              <w:rPr>
                <w:rFonts w:hint="eastAsia"/>
                <w:vertAlign w:val="baseline"/>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自行监测天数(或次数)</w:t>
            </w:r>
          </w:p>
        </w:tc>
        <w:tc>
          <w:tcPr>
            <w:tcW w:w="3348" w:type="dxa"/>
          </w:tcPr>
          <w:p>
            <w:pP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自动监测：24小时连续监测</w:t>
            </w:r>
          </w:p>
          <w:p>
            <w:pPr>
              <w:rPr>
                <w:vertAlign w:val="baseline"/>
              </w:rPr>
            </w:pPr>
            <w:r>
              <w:rPr>
                <w:rFonts w:hint="eastAsia" w:ascii="黑体" w:hAnsi="黑体" w:eastAsia="黑体" w:cs="黑体"/>
                <w:vertAlign w:val="baseline"/>
                <w:lang w:val="en-US" w:eastAsia="zh-CN"/>
              </w:rPr>
              <w:t>手工监测：每季度一次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委托的第三方检测机构名称和资质</w:t>
            </w:r>
          </w:p>
        </w:tc>
        <w:tc>
          <w:tcPr>
            <w:tcW w:w="3348" w:type="dxa"/>
          </w:tcPr>
          <w:p>
            <w:pPr>
              <w:rPr>
                <w:rFonts w:hint="eastAsia" w:eastAsiaTheme="minorEastAsia"/>
                <w:vertAlign w:val="baseline"/>
                <w:lang w:eastAsia="zh-CN"/>
              </w:rPr>
            </w:pPr>
            <w:r>
              <w:rPr>
                <w:rFonts w:hint="eastAsia" w:ascii="黑体" w:hAnsi="黑体" w:eastAsia="黑体" w:cs="黑体"/>
                <w:vertAlign w:val="baseline"/>
                <w:lang w:val="en-US" w:eastAsia="zh-CN"/>
              </w:rPr>
              <w:t>新疆蓝卓越环保科技有限公司</w:t>
            </w:r>
          </w:p>
        </w:tc>
      </w:tr>
    </w:tbl>
    <w:p>
      <w:pPr>
        <w:jc w:val="center"/>
        <w:rPr>
          <w:rFonts w:hint="eastAsia"/>
          <w:b/>
          <w:bCs/>
          <w:sz w:val="24"/>
          <w:szCs w:val="32"/>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tbl>
      <w:tblPr>
        <w:tblStyle w:val="5"/>
        <w:tblpPr w:leftFromText="180" w:rightFromText="180" w:vertAnchor="page" w:horzAnchor="page" w:tblpX="2085" w:tblpY="1728"/>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812" w:type="dxa"/>
          </w:tcPr>
          <w:p>
            <w:pPr>
              <w:jc w:val="center"/>
              <w:rPr>
                <w:rFonts w:hint="eastAsia" w:eastAsiaTheme="minorEastAsia"/>
                <w:vertAlign w:val="baseline"/>
                <w:lang w:val="en-US" w:eastAsia="zh-CN"/>
              </w:rPr>
            </w:pPr>
            <w:r>
              <w:rPr>
                <w:rFonts w:hint="eastAsia" w:ascii="黑体" w:hAnsi="黑体" w:eastAsia="黑体" w:cs="黑体"/>
                <w:b/>
                <w:bCs/>
                <w:sz w:val="24"/>
                <w:szCs w:val="24"/>
                <w:vertAlign w:val="baseline"/>
                <w:lang w:val="en-US" w:eastAsia="zh-CN"/>
              </w:rPr>
              <w:t>有组织排放</w:t>
            </w:r>
          </w:p>
        </w:tc>
      </w:tr>
    </w:tbl>
    <w:p>
      <w:pPr>
        <w:ind w:firstLine="2811" w:firstLineChars="1000"/>
        <w:jc w:val="both"/>
        <w:rPr>
          <w:rFonts w:hint="eastAsia"/>
          <w:b/>
          <w:bCs/>
          <w:sz w:val="28"/>
          <w:szCs w:val="28"/>
          <w:lang w:val="en-US" w:eastAsia="zh-CN"/>
        </w:rPr>
      </w:pPr>
      <w:r>
        <w:rPr>
          <w:rFonts w:hint="eastAsia"/>
          <w:b/>
          <w:bCs/>
          <w:sz w:val="28"/>
          <w:szCs w:val="28"/>
          <w:lang w:val="en-US" w:eastAsia="zh-CN"/>
        </w:rPr>
        <w:t>扬尘污染情况(涉气企业)</w:t>
      </w:r>
    </w:p>
    <w:tbl>
      <w:tblPr>
        <w:tblStyle w:val="5"/>
        <w:tblW w:w="781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煤堆、煤渣、粉煤灰、飞灰堆放情况</w:t>
            </w:r>
          </w:p>
        </w:tc>
        <w:tc>
          <w:tcPr>
            <w:tcW w:w="3837" w:type="dxa"/>
          </w:tcPr>
          <w:p>
            <w:pPr>
              <w:jc w:val="left"/>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煤、炉渣、粉煤灰、全部封闭管理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装卸物料采取情况</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洒水抑尘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防治扬尘污染的丰要措施</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洒水抑尘措施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lef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主要路面硬化情况(厂区内主干道)</w:t>
            </w:r>
          </w:p>
        </w:tc>
        <w:tc>
          <w:tcPr>
            <w:tcW w:w="3837" w:type="dxa"/>
            <w:vAlign w:val="top"/>
          </w:tcPr>
          <w:p>
            <w:pPr>
              <w:jc w:val="both"/>
              <w:rPr>
                <w:rFonts w:hint="eastAsia" w:ascii="黑体" w:hAnsi="黑体" w:eastAsia="黑体" w:cs="黑体"/>
                <w:vertAlign w:val="baseline"/>
                <w:lang w:val="en-US" w:eastAsia="zh-CN"/>
              </w:rPr>
            </w:pPr>
            <w:r>
              <w:rPr>
                <w:rFonts w:hint="eastAsia" w:ascii="仿宋" w:hAnsi="仿宋" w:eastAsia="仿宋" w:cs="仿宋"/>
                <w:b w:val="0"/>
                <w:bCs w:val="0"/>
                <w:sz w:val="24"/>
                <w:szCs w:val="24"/>
                <w:vertAlign w:val="baseline"/>
                <w:lang w:val="en-US" w:eastAsia="zh-CN"/>
              </w:rPr>
              <w:t>全部硬化</w:t>
            </w:r>
          </w:p>
        </w:tc>
      </w:tr>
    </w:tbl>
    <w:p>
      <w:pPr>
        <w:jc w:val="both"/>
        <w:rPr>
          <w:rFonts w:hint="eastAsia"/>
          <w:b/>
          <w:bCs/>
          <w:sz w:val="24"/>
          <w:szCs w:val="32"/>
          <w:lang w:val="en-US" w:eastAsia="zh-CN"/>
        </w:rPr>
      </w:pPr>
    </w:p>
    <w:p>
      <w:pPr>
        <w:jc w:val="center"/>
        <w:rPr>
          <w:rFonts w:hint="eastAsia"/>
          <w:b/>
          <w:bCs/>
          <w:sz w:val="28"/>
          <w:szCs w:val="28"/>
          <w:lang w:val="en-US" w:eastAsia="zh-CN"/>
        </w:rPr>
      </w:pPr>
      <w:r>
        <w:rPr>
          <w:rFonts w:hint="eastAsia"/>
          <w:b/>
          <w:bCs/>
          <w:sz w:val="28"/>
          <w:szCs w:val="28"/>
          <w:lang w:val="en-US" w:eastAsia="zh-CN"/>
        </w:rPr>
        <w:t>噪声排放情况</w:t>
      </w:r>
    </w:p>
    <w:tbl>
      <w:tblPr>
        <w:tblStyle w:val="5"/>
        <w:tblW w:w="782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gridCol w:w="1918"/>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监测点位名称</w:t>
            </w:r>
          </w:p>
        </w:tc>
        <w:tc>
          <w:tcPr>
            <w:tcW w:w="3837" w:type="dxa"/>
            <w:gridSpan w:val="2"/>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restart"/>
          </w:tcPr>
          <w:p>
            <w:pPr>
              <w:jc w:val="center"/>
              <w:rPr>
                <w:rFonts w:hint="eastAsia" w:ascii="宋体" w:hAnsi="宋体" w:eastAsia="宋体" w:cs="宋体"/>
                <w:b w:val="0"/>
                <w:bCs w:val="0"/>
                <w:sz w:val="21"/>
                <w:szCs w:val="21"/>
                <w:vertAlign w:val="baseline"/>
                <w:lang w:val="en-US" w:eastAsia="zh-CN"/>
              </w:rPr>
            </w:pP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监测点位位置</w:t>
            </w:r>
          </w:p>
        </w:tc>
        <w:tc>
          <w:tcPr>
            <w:tcW w:w="3837" w:type="dxa"/>
            <w:gridSpan w:val="2"/>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厂界东侧15m处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厂界西侧15m处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厂界南侧12m处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vAlign w:val="top"/>
          </w:tcPr>
          <w:p>
            <w:pPr>
              <w:jc w:val="center"/>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厂界南侧14m处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执行标准</w:t>
            </w:r>
          </w:p>
        </w:tc>
        <w:tc>
          <w:tcPr>
            <w:tcW w:w="3837" w:type="dxa"/>
            <w:gridSpan w:val="2"/>
          </w:tcPr>
          <w:p>
            <w:pPr>
              <w:jc w:val="both"/>
              <w:rPr>
                <w:rFonts w:hint="eastAsia"/>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排放限值</w:t>
            </w:r>
          </w:p>
        </w:tc>
        <w:tc>
          <w:tcPr>
            <w:tcW w:w="1918" w:type="dxa"/>
            <w:vAlign w:val="top"/>
          </w:tcPr>
          <w:p>
            <w:pPr>
              <w:ind w:firstLine="240" w:firstLineChars="10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 xml:space="preserve">昼间:65dB  </w:t>
            </w:r>
          </w:p>
        </w:tc>
        <w:tc>
          <w:tcPr>
            <w:tcW w:w="1919" w:type="dxa"/>
            <w:vAlign w:val="top"/>
          </w:tcPr>
          <w:p>
            <w:pPr>
              <w:ind w:firstLine="240" w:firstLineChars="10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夜间:55dB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restart"/>
          </w:tcPr>
          <w:p>
            <w:pPr>
              <w:jc w:val="center"/>
              <w:rPr>
                <w:rFonts w:hint="eastAsia" w:ascii="宋体" w:hAnsi="宋体" w:eastAsia="宋体" w:cs="宋体"/>
                <w:b/>
                <w:bCs/>
                <w:sz w:val="24"/>
                <w:szCs w:val="32"/>
                <w:vertAlign w:val="baseline"/>
                <w:lang w:val="en-US" w:eastAsia="zh-CN"/>
              </w:rPr>
            </w:pPr>
          </w:p>
          <w:p>
            <w:pPr>
              <w:bidi w:val="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实际排放值</w:t>
            </w:r>
          </w:p>
        </w:tc>
        <w:tc>
          <w:tcPr>
            <w:tcW w:w="1918"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#1昼间：54</w:t>
            </w:r>
          </w:p>
        </w:tc>
        <w:tc>
          <w:tcPr>
            <w:tcW w:w="1919"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#1夜间：50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both"/>
              <w:rPr>
                <w:rFonts w:hint="eastAsia"/>
                <w:b/>
                <w:bCs/>
                <w:sz w:val="24"/>
                <w:szCs w:val="32"/>
                <w:vertAlign w:val="baseline"/>
                <w:lang w:val="en-US" w:eastAsia="zh-CN"/>
              </w:rPr>
            </w:pPr>
          </w:p>
        </w:tc>
        <w:tc>
          <w:tcPr>
            <w:tcW w:w="1918" w:type="dxa"/>
            <w:vAlign w:val="top"/>
          </w:tcPr>
          <w:p>
            <w:pPr>
              <w:bidi w:val="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#2昼间：51</w:t>
            </w:r>
          </w:p>
        </w:tc>
        <w:tc>
          <w:tcPr>
            <w:tcW w:w="1919"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#2夜间：49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both"/>
              <w:rPr>
                <w:rFonts w:hint="eastAsia"/>
                <w:b/>
                <w:bCs/>
                <w:sz w:val="24"/>
                <w:szCs w:val="32"/>
                <w:vertAlign w:val="baseline"/>
                <w:lang w:val="en-US" w:eastAsia="zh-CN"/>
              </w:rPr>
            </w:pPr>
          </w:p>
        </w:tc>
        <w:tc>
          <w:tcPr>
            <w:tcW w:w="1918"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#3昼间：55</w:t>
            </w:r>
          </w:p>
        </w:tc>
        <w:tc>
          <w:tcPr>
            <w:tcW w:w="1919"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#3夜间：53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2" w:type="dxa"/>
            <w:vMerge w:val="continue"/>
          </w:tcPr>
          <w:p>
            <w:pPr>
              <w:jc w:val="both"/>
              <w:rPr>
                <w:rFonts w:hint="eastAsia"/>
                <w:b/>
                <w:bCs/>
                <w:sz w:val="24"/>
                <w:szCs w:val="32"/>
                <w:vertAlign w:val="baseline"/>
                <w:lang w:val="en-US" w:eastAsia="zh-CN"/>
              </w:rPr>
            </w:pPr>
          </w:p>
        </w:tc>
        <w:tc>
          <w:tcPr>
            <w:tcW w:w="1918" w:type="dxa"/>
            <w:vAlign w:val="top"/>
          </w:tcPr>
          <w:p>
            <w:pPr>
              <w:bidi w:val="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#4昼间：55</w:t>
            </w:r>
          </w:p>
        </w:tc>
        <w:tc>
          <w:tcPr>
            <w:tcW w:w="1919" w:type="dxa"/>
            <w:vAlign w:val="top"/>
          </w:tcPr>
          <w:p>
            <w:pPr>
              <w:bidi w:val="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#4夜间：50</w:t>
            </w:r>
          </w:p>
        </w:tc>
      </w:tr>
    </w:tbl>
    <w:p>
      <w:pPr>
        <w:jc w:val="both"/>
        <w:rPr>
          <w:rFonts w:hint="eastAsia"/>
          <w:b/>
          <w:bCs/>
          <w:sz w:val="24"/>
          <w:szCs w:val="32"/>
          <w:lang w:val="en-US" w:eastAsia="zh-CN"/>
        </w:rPr>
      </w:pPr>
    </w:p>
    <w:p>
      <w:pPr>
        <w:jc w:val="center"/>
        <w:rPr>
          <w:rFonts w:hint="eastAsia"/>
          <w:b/>
          <w:bCs/>
          <w:sz w:val="28"/>
          <w:szCs w:val="28"/>
          <w:lang w:val="en-US" w:eastAsia="zh-CN"/>
        </w:rPr>
      </w:pPr>
      <w:r>
        <w:rPr>
          <w:rFonts w:hint="eastAsia"/>
          <w:b/>
          <w:bCs/>
          <w:sz w:val="28"/>
          <w:szCs w:val="28"/>
          <w:lang w:val="en-US" w:eastAsia="zh-CN"/>
        </w:rPr>
        <w:t>工业固体废物的产生、贮存、流向和利用处置信息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center"/>
              <w:rPr>
                <w:rFonts w:hint="eastAsia"/>
                <w:b/>
                <w:bCs/>
                <w:sz w:val="24"/>
                <w:szCs w:val="32"/>
                <w:vertAlign w:val="baseline"/>
                <w:lang w:val="en-US" w:eastAsia="zh-CN"/>
              </w:rPr>
            </w:pPr>
            <w:r>
              <w:rPr>
                <w:rFonts w:hint="eastAsia" w:ascii="黑体" w:hAnsi="黑体" w:eastAsia="黑体" w:cs="黑体"/>
                <w:b/>
                <w:bCs/>
                <w:sz w:val="24"/>
                <w:szCs w:val="32"/>
                <w:vertAlign w:val="baseli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261" w:type="dxa"/>
            <w:vAlign w:val="top"/>
          </w:tcPr>
          <w:p>
            <w:pPr>
              <w:bidi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粉煤灰、炉渣、石膏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4261" w:type="dxa"/>
            <w:vAlign w:val="top"/>
          </w:tcPr>
          <w:p>
            <w:pPr>
              <w:ind w:firstLine="960" w:firstLineChars="400"/>
              <w:jc w:val="both"/>
              <w:rPr>
                <w:rFonts w:hint="eastAsia" w:asciiTheme="minorHAnsi" w:hAnsiTheme="minorHAnsi" w:eastAsiaTheme="minorEastAsia" w:cstheme="minorBidi"/>
                <w:b/>
                <w:bCs/>
                <w:kern w:val="2"/>
                <w:sz w:val="24"/>
                <w:szCs w:val="32"/>
                <w:vertAlign w:val="baseline"/>
                <w:lang w:val="en-US" w:eastAsia="zh-CN" w:bidi="ar-SA"/>
              </w:rPr>
            </w:pPr>
            <w:r>
              <w:rPr>
                <w:rFonts w:hint="eastAsia" w:ascii="仿宋" w:hAnsi="仿宋" w:eastAsia="仿宋" w:cs="仿宋"/>
                <w:kern w:val="2"/>
                <w:sz w:val="24"/>
                <w:szCs w:val="24"/>
                <w:lang w:val="en-US" w:eastAsia="zh-CN" w:bidi="ar-SA"/>
              </w:rPr>
              <w:t>粉煤灰、炉渣、石膏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成分</w:t>
            </w:r>
          </w:p>
        </w:tc>
        <w:tc>
          <w:tcPr>
            <w:tcW w:w="4261" w:type="dxa"/>
            <w:vAlign w:val="top"/>
          </w:tcPr>
          <w:p>
            <w:pPr>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ascii="仿宋" w:hAnsi="仿宋" w:eastAsia="仿宋" w:cs="仿宋"/>
                <w:kern w:val="2"/>
                <w:sz w:val="24"/>
                <w:szCs w:val="24"/>
                <w:lang w:val="en-US" w:eastAsia="zh-CN" w:bidi="ar-SA"/>
              </w:rPr>
              <w:t>二氧化硅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等级(一类或二类一般工业固体废物）</w:t>
            </w:r>
          </w:p>
        </w:tc>
        <w:tc>
          <w:tcPr>
            <w:tcW w:w="4261"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每日产生量</w:t>
            </w:r>
          </w:p>
        </w:tc>
        <w:tc>
          <w:tcPr>
            <w:tcW w:w="4261"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每日贮存量</w:t>
            </w:r>
          </w:p>
        </w:tc>
        <w:tc>
          <w:tcPr>
            <w:tcW w:w="4261"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261"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261"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委托第三处置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261"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261"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新疆龙鑫环境科技有限公司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261"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261"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261" w:type="dxa"/>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261" w:type="dxa"/>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新疆龙鑫环境科技有限公司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一般工业固体废物运输、利用、处置情况</w:t>
            </w:r>
          </w:p>
        </w:tc>
        <w:tc>
          <w:tcPr>
            <w:tcW w:w="4261"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center"/>
              <w:rPr>
                <w:rFonts w:hint="eastAsia"/>
                <w:b/>
                <w:bCs/>
                <w:sz w:val="24"/>
                <w:szCs w:val="32"/>
                <w:vertAlign w:val="baseline"/>
                <w:lang w:val="en-US" w:eastAsia="zh-CN"/>
              </w:rPr>
            </w:pPr>
            <w:r>
              <w:rPr>
                <w:rFonts w:hint="eastAsia" w:ascii="黑体" w:hAnsi="黑体" w:eastAsia="黑体" w:cs="黑体"/>
                <w:b/>
                <w:bCs/>
                <w:sz w:val="24"/>
                <w:szCs w:val="32"/>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废物代码</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900-217-08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主要有害成分</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多环芳烃、苯系物、重金属等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危险特性</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易燃、毒性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261"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261"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261"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261"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危险废物暂存库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120m</w:t>
            </w:r>
            <w:r>
              <w:rPr>
                <w:rFonts w:hint="eastAsia" w:ascii="仿宋" w:hAnsi="仿宋" w:eastAsia="仿宋" w:cs="仿宋"/>
                <w:b w:val="0"/>
                <w:bCs w:val="0"/>
                <w:sz w:val="24"/>
                <w:szCs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261" w:type="dxa"/>
            <w:vAlign w:val="top"/>
          </w:tcPr>
          <w:p>
            <w:pPr>
              <w:jc w:val="center"/>
              <w:rPr>
                <w:rFonts w:hint="eastAsia" w:ascii="宋体" w:hAnsi="宋体" w:eastAsia="宋体" w:cs="宋体"/>
                <w:b/>
                <w:bCs/>
                <w:kern w:val="2"/>
                <w:sz w:val="24"/>
                <w:szCs w:val="32"/>
                <w:vertAlign w:val="baseline"/>
                <w:lang w:val="en-US" w:eastAsia="zh-CN" w:bidi="ar-SA"/>
              </w:rPr>
            </w:pPr>
            <w:r>
              <w:rPr>
                <w:rFonts w:hint="eastAsia" w:ascii="仿宋" w:hAnsi="仿宋" w:eastAsia="仿宋" w:cs="仿宋"/>
                <w:b w:val="0"/>
                <w:bCs w:val="0"/>
                <w:sz w:val="24"/>
                <w:szCs w:val="24"/>
                <w:vertAlign w:val="baseline"/>
                <w:lang w:val="en-US" w:eastAsia="zh-CN"/>
              </w:rPr>
              <w:t>经度：90°09′8.46″纬度：44°19′26.68″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261" w:type="dxa"/>
          </w:tcPr>
          <w:p>
            <w:pPr>
              <w:jc w:val="center"/>
              <w:rPr>
                <w:rFonts w:hint="eastAsia" w:ascii="宋体" w:hAnsi="宋体" w:eastAsia="宋体" w:cs="宋体"/>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新疆鑫鸿伟环保科技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6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危险废物转移联单</w:t>
            </w:r>
          </w:p>
        </w:tc>
        <w:tc>
          <w:tcPr>
            <w:tcW w:w="4261" w:type="dxa"/>
          </w:tcPr>
          <w:p>
            <w:pPr>
              <w:jc w:val="center"/>
              <w:rPr>
                <w:rFonts w:hint="default" w:ascii="宋体" w:hAnsi="宋体" w:eastAsia="宋体" w:cs="宋体"/>
                <w:b/>
                <w:bCs/>
                <w:sz w:val="24"/>
                <w:szCs w:val="32"/>
                <w:vertAlign w:val="baseline"/>
                <w:lang w:val="en-US" w:eastAsia="zh-CN"/>
              </w:rPr>
            </w:pPr>
            <w:r>
              <w:rPr>
                <w:rFonts w:hint="eastAsia" w:ascii="仿宋" w:hAnsi="仿宋" w:eastAsia="仿宋" w:cs="仿宋"/>
                <w:b w:val="0"/>
                <w:bCs w:val="0"/>
                <w:sz w:val="24"/>
                <w:szCs w:val="24"/>
                <w:vertAlign w:val="baseline"/>
                <w:lang w:val="en-US" w:eastAsia="zh-CN"/>
              </w:rPr>
              <w:t>20226523004075、202265523018637</w:t>
            </w:r>
          </w:p>
        </w:tc>
      </w:tr>
    </w:tbl>
    <w:p>
      <w:pPr>
        <w:jc w:val="both"/>
        <w:rPr>
          <w:rFonts w:hint="eastAsia" w:ascii="宋体" w:hAnsi="宋体" w:eastAsia="宋体" w:cs="宋体"/>
          <w:b/>
          <w:bCs/>
          <w:sz w:val="24"/>
          <w:szCs w:val="32"/>
          <w:lang w:val="en-US" w:eastAsia="zh-CN"/>
        </w:rPr>
      </w:pPr>
      <w:r>
        <w:drawing>
          <wp:inline distT="0" distB="0" distL="114300" distR="114300">
            <wp:extent cx="5266690" cy="2962910"/>
            <wp:effectExtent l="0" t="0" r="1016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690" cy="2962910"/>
                    </a:xfrm>
                    <a:prstGeom prst="rect">
                      <a:avLst/>
                    </a:prstGeom>
                    <a:noFill/>
                    <a:ln>
                      <a:noFill/>
                    </a:ln>
                  </pic:spPr>
                </pic:pic>
              </a:graphicData>
            </a:graphic>
          </wp:inline>
        </w:drawing>
      </w:r>
    </w:p>
    <w:p>
      <w:pPr>
        <w:jc w:val="both"/>
        <w:rPr>
          <w:rFonts w:hint="eastAsia"/>
          <w:b/>
          <w:bCs/>
          <w:sz w:val="24"/>
          <w:szCs w:val="32"/>
          <w:lang w:val="en-US" w:eastAsia="zh-CN"/>
        </w:rPr>
      </w:pPr>
    </w:p>
    <w:p>
      <w:pPr>
        <w:numPr>
          <w:ilvl w:val="0"/>
          <w:numId w:val="0"/>
        </w:numPr>
        <w:rPr>
          <w:rFonts w:hint="default" w:ascii="黑体" w:hAnsi="黑体" w:eastAsia="黑体" w:cs="黑体"/>
          <w:b w:val="0"/>
          <w:bCs w:val="0"/>
          <w:sz w:val="32"/>
          <w:szCs w:val="32"/>
          <w:lang w:val="en-US" w:eastAsia="zh-CN"/>
        </w:rPr>
      </w:pPr>
      <w:r>
        <w:drawing>
          <wp:inline distT="0" distB="0" distL="114300" distR="114300">
            <wp:extent cx="5266690" cy="2962910"/>
            <wp:effectExtent l="0" t="0" r="1016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29629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6304E"/>
    <w:multiLevelType w:val="singleLevel"/>
    <w:tmpl w:val="B73630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WU5NDJlZDAxZmRmM2VlNmVmZmEzZWQzMzFmNjYifQ=="/>
  </w:docVars>
  <w:rsids>
    <w:rsidRoot w:val="00000000"/>
    <w:rsid w:val="076B1CFB"/>
    <w:rsid w:val="0822060B"/>
    <w:rsid w:val="08BD37A9"/>
    <w:rsid w:val="0BEA2E06"/>
    <w:rsid w:val="103A4E03"/>
    <w:rsid w:val="13427DB4"/>
    <w:rsid w:val="1497321C"/>
    <w:rsid w:val="20CC358C"/>
    <w:rsid w:val="21851F34"/>
    <w:rsid w:val="26E955AD"/>
    <w:rsid w:val="2CFF2D3C"/>
    <w:rsid w:val="33F85531"/>
    <w:rsid w:val="36D1210C"/>
    <w:rsid w:val="380D6DE5"/>
    <w:rsid w:val="3DB93116"/>
    <w:rsid w:val="3F125618"/>
    <w:rsid w:val="487D344E"/>
    <w:rsid w:val="4BA858AA"/>
    <w:rsid w:val="4E982D0B"/>
    <w:rsid w:val="5A374147"/>
    <w:rsid w:val="5B6661A9"/>
    <w:rsid w:val="600B28A8"/>
    <w:rsid w:val="638F16E1"/>
    <w:rsid w:val="68513AC7"/>
    <w:rsid w:val="688B65FB"/>
    <w:rsid w:val="6A1C2A35"/>
    <w:rsid w:val="702D0A47"/>
    <w:rsid w:val="752F4993"/>
    <w:rsid w:val="75EA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560" w:firstLineChars="200"/>
    </w:pPr>
    <w:rPr>
      <w:sz w:val="28"/>
    </w:rPr>
  </w:style>
  <w:style w:type="paragraph" w:styleId="3">
    <w:name w:val="Body Text First Indent 2"/>
    <w:basedOn w:val="2"/>
    <w:qFormat/>
    <w:uiPriority w:val="0"/>
    <w:pPr>
      <w:ind w:firstLine="420" w:firstLineChars="200"/>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2261</Words>
  <Characters>2774</Characters>
  <Lines>0</Lines>
  <Paragraphs>0</Paragraphs>
  <TotalTime>30</TotalTime>
  <ScaleCrop>false</ScaleCrop>
  <LinksUpToDate>false</LinksUpToDate>
  <CharactersWithSpaces>2920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2022-12-13T08:41:00Z</dcterms:created>
  <dc:creator>Administrator</dc:creator>
  <cp:lastModifiedBy>LJ</cp:lastModifiedBy>
  <cp:lastPrinted>2022-12-15T08:13:00Z</cp:lastPrinted>
  <dcterms:modified xsi:type="dcterms:W3CDTF">2022-12-19T08:51:07Z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0B1C01BDE61D4505A7EEC16B31451808</vt:lpwstr>
  </property>
</Properties>
</file>