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r>
        <w:rPr>
          <w:rFonts w:hint="eastAsia"/>
          <w:lang w:val="en-US" w:eastAsia="zh-CN"/>
        </w:rPr>
        <w:t xml:space="preserve">                        </w:t>
      </w:r>
    </w:p>
    <w:p>
      <w:pPr>
        <w:rPr>
          <w:rFonts w:hint="eastAsia"/>
          <w:lang w:val="en-US" w:eastAsia="zh-CN"/>
        </w:rPr>
      </w:pPr>
    </w:p>
    <w:p>
      <w:pPr>
        <w:ind w:firstLine="2200" w:firstLineChars="500"/>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企业环境信息依法披露</w:t>
      </w:r>
    </w:p>
    <w:p>
      <w:pPr>
        <w:ind w:firstLine="3080" w:firstLineChars="700"/>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2022年度报告</w:t>
      </w:r>
    </w:p>
    <w:p>
      <w:pPr>
        <w:rPr>
          <w:rFonts w:hint="eastAsia" w:ascii="宋体" w:hAnsi="宋体" w:eastAsia="宋体" w:cs="宋体"/>
          <w:sz w:val="36"/>
          <w:szCs w:val="36"/>
          <w:lang w:val="en-US" w:eastAsia="zh-CN"/>
        </w:rPr>
      </w:pPr>
    </w:p>
    <w:p>
      <w:pPr>
        <w:rPr>
          <w:rFonts w:hint="eastAsia" w:ascii="宋体" w:hAnsi="宋体" w:eastAsia="宋体" w:cs="宋体"/>
          <w:sz w:val="36"/>
          <w:szCs w:val="36"/>
          <w:lang w:val="en-US" w:eastAsia="zh-CN"/>
        </w:rPr>
      </w:pPr>
    </w:p>
    <w:p>
      <w:pPr>
        <w:rPr>
          <w:rFonts w:hint="eastAsia" w:ascii="宋体" w:hAnsi="宋体" w:eastAsia="宋体" w:cs="宋体"/>
          <w:sz w:val="36"/>
          <w:szCs w:val="36"/>
          <w:lang w:val="en-US" w:eastAsia="zh-CN"/>
        </w:rPr>
      </w:pPr>
    </w:p>
    <w:p>
      <w:pPr>
        <w:rPr>
          <w:rFonts w:hint="eastAsia" w:ascii="宋体" w:hAnsi="宋体" w:eastAsia="宋体" w:cs="宋体"/>
          <w:sz w:val="36"/>
          <w:szCs w:val="36"/>
          <w:lang w:val="en-US" w:eastAsia="zh-CN"/>
        </w:rPr>
      </w:pPr>
    </w:p>
    <w:p>
      <w:pPr>
        <w:rPr>
          <w:rFonts w:hint="eastAsia" w:ascii="宋体" w:hAnsi="宋体" w:eastAsia="宋体" w:cs="宋体"/>
          <w:sz w:val="32"/>
          <w:szCs w:val="32"/>
          <w:lang w:val="en-US" w:eastAsia="zh-CN"/>
        </w:rPr>
      </w:pPr>
    </w:p>
    <w:p>
      <w:pPr>
        <w:rPr>
          <w:rFonts w:hint="eastAsia" w:ascii="宋体" w:hAnsi="宋体" w:eastAsia="宋体" w:cs="宋体"/>
          <w:sz w:val="32"/>
          <w:szCs w:val="32"/>
          <w:lang w:val="en-US" w:eastAsia="zh-CN"/>
        </w:rPr>
      </w:pPr>
    </w:p>
    <w:p>
      <w:pPr>
        <w:ind w:firstLine="960" w:firstLineChars="300"/>
        <w:rPr>
          <w:rFonts w:hint="eastAsia" w:ascii="宋体" w:hAnsi="宋体" w:eastAsia="宋体" w:cs="宋体"/>
          <w:sz w:val="36"/>
          <w:szCs w:val="36"/>
          <w:lang w:val="en-US" w:eastAsia="zh-CN"/>
        </w:rPr>
      </w:pPr>
      <w:r>
        <w:rPr>
          <w:rFonts w:hint="eastAsia" w:ascii="宋体" w:hAnsi="宋体" w:eastAsia="宋体" w:cs="宋体"/>
          <w:sz w:val="32"/>
          <w:szCs w:val="32"/>
          <w:lang w:val="en-US" w:eastAsia="zh-CN"/>
        </w:rPr>
        <w:t>企业名称</w:t>
      </w:r>
      <w:r>
        <w:rPr>
          <w:rFonts w:hint="eastAsia" w:ascii="宋体" w:hAnsi="宋体" w:eastAsia="宋体" w:cs="宋体"/>
          <w:sz w:val="36"/>
          <w:szCs w:val="36"/>
          <w:lang w:val="en-US" w:eastAsia="zh-CN"/>
        </w:rPr>
        <w:t>：新疆信友能源投资有限公司</w:t>
      </w:r>
    </w:p>
    <w:p>
      <w:pPr>
        <w:ind w:firstLine="960" w:firstLineChars="300"/>
        <w:rPr>
          <w:rFonts w:hint="eastAsia" w:ascii="宋体" w:hAnsi="宋体" w:eastAsia="宋体" w:cs="宋体"/>
          <w:sz w:val="32"/>
          <w:szCs w:val="32"/>
          <w:lang w:val="en-US" w:eastAsia="zh-CN"/>
        </w:rPr>
      </w:pPr>
    </w:p>
    <w:p>
      <w:pPr>
        <w:ind w:firstLine="960" w:firstLineChars="300"/>
        <w:rPr>
          <w:rFonts w:hint="default" w:ascii="宋体" w:hAnsi="宋体" w:eastAsia="宋体" w:cs="宋体"/>
          <w:sz w:val="36"/>
          <w:szCs w:val="36"/>
          <w:lang w:val="en-US" w:eastAsia="zh-CN"/>
        </w:rPr>
      </w:pPr>
      <w:r>
        <w:rPr>
          <w:rFonts w:hint="eastAsia" w:ascii="宋体" w:hAnsi="宋体" w:eastAsia="宋体" w:cs="宋体"/>
          <w:sz w:val="32"/>
          <w:szCs w:val="32"/>
          <w:lang w:val="en-US" w:eastAsia="zh-CN"/>
        </w:rPr>
        <w:t>统一社会信用代码</w:t>
      </w:r>
      <w:r>
        <w:rPr>
          <w:rFonts w:hint="eastAsia" w:ascii="宋体" w:hAnsi="宋体" w:eastAsia="宋体" w:cs="宋体"/>
          <w:sz w:val="36"/>
          <w:szCs w:val="36"/>
          <w:lang w:val="en-US" w:eastAsia="zh-CN"/>
        </w:rPr>
        <w:t>：916523255643682499</w:t>
      </w:r>
    </w:p>
    <w:p>
      <w:pPr>
        <w:ind w:firstLine="960" w:firstLineChars="300"/>
        <w:rPr>
          <w:rFonts w:hint="eastAsia" w:ascii="宋体" w:hAnsi="宋体" w:eastAsia="宋体" w:cs="宋体"/>
          <w:sz w:val="32"/>
          <w:szCs w:val="32"/>
          <w:lang w:val="en-US" w:eastAsia="zh-CN"/>
        </w:rPr>
      </w:pPr>
    </w:p>
    <w:p>
      <w:pPr>
        <w:ind w:firstLine="960" w:firstLineChars="300"/>
        <w:rPr>
          <w:rFonts w:hint="default" w:ascii="宋体" w:hAnsi="宋体" w:eastAsia="宋体" w:cs="宋体"/>
          <w:sz w:val="36"/>
          <w:szCs w:val="36"/>
          <w:lang w:val="en-US" w:eastAsia="zh-CN"/>
        </w:rPr>
      </w:pPr>
      <w:r>
        <w:rPr>
          <w:rFonts w:hint="eastAsia" w:ascii="宋体" w:hAnsi="宋体" w:eastAsia="宋体" w:cs="宋体"/>
          <w:sz w:val="32"/>
          <w:szCs w:val="32"/>
          <w:lang w:val="en-US" w:eastAsia="zh-CN"/>
        </w:rPr>
        <w:t>编制日期</w:t>
      </w:r>
      <w:r>
        <w:rPr>
          <w:rFonts w:hint="eastAsia" w:ascii="宋体" w:hAnsi="宋体" w:eastAsia="宋体" w:cs="宋体"/>
          <w:sz w:val="36"/>
          <w:szCs w:val="36"/>
          <w:lang w:val="en-US" w:eastAsia="zh-CN"/>
        </w:rPr>
        <w:t>：2023年01月</w:t>
      </w:r>
    </w:p>
    <w:p>
      <w:pPr>
        <w:ind w:firstLine="1080" w:firstLineChars="300"/>
        <w:rPr>
          <w:rFonts w:hint="eastAsia" w:ascii="宋体" w:hAnsi="宋体" w:eastAsia="宋体" w:cs="宋体"/>
          <w:sz w:val="36"/>
          <w:szCs w:val="36"/>
          <w:lang w:val="en-US" w:eastAsia="zh-CN"/>
        </w:rPr>
      </w:pPr>
    </w:p>
    <w:p>
      <w:pPr>
        <w:ind w:firstLine="1080" w:firstLineChars="300"/>
        <w:rPr>
          <w:rFonts w:hint="eastAsia" w:ascii="宋体" w:hAnsi="宋体" w:eastAsia="宋体" w:cs="宋体"/>
          <w:sz w:val="36"/>
          <w:szCs w:val="36"/>
          <w:lang w:val="en-US" w:eastAsia="zh-CN"/>
        </w:rPr>
      </w:pPr>
    </w:p>
    <w:p>
      <w:pPr>
        <w:ind w:firstLine="1080" w:firstLineChars="300"/>
        <w:rPr>
          <w:rFonts w:hint="eastAsia" w:ascii="宋体" w:hAnsi="宋体" w:eastAsia="宋体" w:cs="宋体"/>
          <w:sz w:val="36"/>
          <w:szCs w:val="36"/>
          <w:lang w:val="en-US" w:eastAsia="zh-CN"/>
        </w:rPr>
      </w:pPr>
    </w:p>
    <w:p>
      <w:pPr>
        <w:ind w:firstLine="1080" w:firstLineChars="300"/>
        <w:rPr>
          <w:rFonts w:hint="eastAsia" w:ascii="宋体" w:hAnsi="宋体" w:eastAsia="宋体" w:cs="宋体"/>
          <w:sz w:val="36"/>
          <w:szCs w:val="36"/>
          <w:lang w:val="en-US" w:eastAsia="zh-CN"/>
        </w:rPr>
      </w:pPr>
    </w:p>
    <w:p>
      <w:pPr>
        <w:ind w:firstLine="1080" w:firstLineChars="300"/>
        <w:rPr>
          <w:rFonts w:hint="eastAsia" w:ascii="宋体" w:hAnsi="宋体" w:eastAsia="宋体" w:cs="宋体"/>
          <w:sz w:val="36"/>
          <w:szCs w:val="36"/>
          <w:lang w:val="en-US" w:eastAsia="zh-CN"/>
        </w:rPr>
      </w:pPr>
    </w:p>
    <w:p>
      <w:pPr>
        <w:ind w:firstLine="1080" w:firstLineChars="300"/>
        <w:rPr>
          <w:rFonts w:hint="eastAsia" w:ascii="宋体" w:hAnsi="宋体" w:eastAsia="宋体" w:cs="宋体"/>
          <w:sz w:val="36"/>
          <w:szCs w:val="36"/>
          <w:lang w:val="en-US" w:eastAsia="zh-CN"/>
        </w:rPr>
      </w:pPr>
    </w:p>
    <w:p>
      <w:pPr>
        <w:ind w:firstLine="1080" w:firstLineChars="300"/>
        <w:rPr>
          <w:rFonts w:hint="eastAsia" w:ascii="宋体" w:hAnsi="宋体" w:eastAsia="宋体" w:cs="宋体"/>
          <w:sz w:val="36"/>
          <w:szCs w:val="36"/>
          <w:lang w:val="en-US" w:eastAsia="zh-CN"/>
        </w:rPr>
      </w:pPr>
    </w:p>
    <w:p>
      <w:pPr>
        <w:ind w:firstLine="1080" w:firstLineChars="300"/>
        <w:rPr>
          <w:rFonts w:hint="eastAsia" w:ascii="宋体" w:hAnsi="宋体" w:eastAsia="宋体" w:cs="宋体"/>
          <w:sz w:val="36"/>
          <w:szCs w:val="36"/>
          <w:lang w:val="en-US" w:eastAsia="zh-CN"/>
        </w:rPr>
      </w:pPr>
    </w:p>
    <w:p>
      <w:pPr>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drawing>
          <wp:inline distT="0" distB="0" distL="114300" distR="114300">
            <wp:extent cx="5261610" cy="7293610"/>
            <wp:effectExtent l="0" t="0" r="8890" b="8890"/>
            <wp:docPr id="1" name="图片 1" descr="958f36c044d84af22ec6daf71f77d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58f36c044d84af22ec6daf71f77d4b"/>
                    <pic:cNvPicPr>
                      <a:picLocks noChangeAspect="1"/>
                    </pic:cNvPicPr>
                  </pic:nvPicPr>
                  <pic:blipFill>
                    <a:blip r:embed="rId4"/>
                    <a:stretch>
                      <a:fillRect/>
                    </a:stretch>
                  </pic:blipFill>
                  <pic:spPr>
                    <a:xfrm>
                      <a:off x="0" y="0"/>
                      <a:ext cx="5261610" cy="7293610"/>
                    </a:xfrm>
                    <a:prstGeom prst="rect">
                      <a:avLst/>
                    </a:prstGeom>
                  </pic:spPr>
                </pic:pic>
              </a:graphicData>
            </a:graphic>
          </wp:inline>
        </w:drawing>
      </w:r>
    </w:p>
    <w:p>
      <w:pPr>
        <w:rPr>
          <w:rFonts w:hint="eastAsia" w:ascii="宋体" w:hAnsi="宋体" w:eastAsia="宋体" w:cs="宋体"/>
          <w:sz w:val="36"/>
          <w:szCs w:val="36"/>
          <w:lang w:val="en-US" w:eastAsia="zh-CN"/>
        </w:rPr>
      </w:pPr>
    </w:p>
    <w:p>
      <w:pPr>
        <w:rPr>
          <w:rFonts w:hint="eastAsia" w:ascii="宋体" w:hAnsi="宋体" w:eastAsia="宋体" w:cs="宋体"/>
          <w:sz w:val="36"/>
          <w:szCs w:val="36"/>
          <w:lang w:val="en-US" w:eastAsia="zh-CN"/>
        </w:rPr>
      </w:pPr>
    </w:p>
    <w:p>
      <w:pPr>
        <w:rPr>
          <w:rFonts w:hint="eastAsia" w:ascii="宋体" w:hAnsi="宋体" w:eastAsia="宋体" w:cs="宋体"/>
          <w:sz w:val="36"/>
          <w:szCs w:val="36"/>
          <w:lang w:val="en-US" w:eastAsia="zh-CN"/>
        </w:rPr>
      </w:pPr>
    </w:p>
    <w:p>
      <w:pPr>
        <w:rPr>
          <w:rFonts w:hint="eastAsia" w:ascii="宋体" w:hAnsi="宋体" w:eastAsia="宋体" w:cs="宋体"/>
          <w:sz w:val="36"/>
          <w:szCs w:val="36"/>
          <w:lang w:val="en-US" w:eastAsia="zh-CN"/>
        </w:rPr>
      </w:pPr>
    </w:p>
    <w:p>
      <w:pPr>
        <w:ind w:firstLine="2209" w:firstLineChars="500"/>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关键环境信息摘要</w:t>
      </w:r>
    </w:p>
    <w:p>
      <w:pPr>
        <w:rPr>
          <w:rFonts w:hint="eastAsia" w:ascii="宋体" w:hAnsi="宋体" w:eastAsia="宋体" w:cs="宋体"/>
          <w:sz w:val="36"/>
          <w:szCs w:val="36"/>
          <w:lang w:val="en-US" w:eastAsia="zh-CN"/>
        </w:rPr>
      </w:pPr>
      <w:r>
        <w:rPr>
          <w:rFonts w:hint="eastAsia" w:ascii="黑体" w:hAnsi="黑体" w:eastAsia="黑体" w:cs="黑体"/>
          <w:sz w:val="32"/>
          <w:szCs w:val="32"/>
          <w:lang w:val="en-US" w:eastAsia="zh-CN"/>
        </w:rPr>
        <w:t>一、企业遵守生态环境法律法规情况</w:t>
      </w:r>
    </w:p>
    <w:p>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本公司在生产经营过程中严格遵守《中华人民共和国环境保护法》、《中华人民共和国环境影响评价法》、《中华人民共和国大气污染防治法》、《中华人民共和国水污染防治法》、《中华人民共和国固体废物污染环境防治法》、《中华人民共和国噪声污染防治法》、《建设项目环境保护管理条例》、《排污许可管理条例》、《企业环境信息依法披露管理办法》、《企事业单位环境信息公开办法》。</w:t>
      </w:r>
    </w:p>
    <w:p>
      <w:pPr>
        <w:numPr>
          <w:ilvl w:val="0"/>
          <w:numId w:val="1"/>
        </w:numPr>
        <w:rPr>
          <w:rFonts w:hint="eastAsia" w:ascii="宋体" w:hAnsi="宋体" w:eastAsia="宋体" w:cs="宋体"/>
          <w:sz w:val="36"/>
          <w:szCs w:val="36"/>
          <w:lang w:val="en-US" w:eastAsia="zh-CN"/>
        </w:rPr>
      </w:pPr>
      <w:r>
        <w:rPr>
          <w:rFonts w:hint="eastAsia" w:ascii="黑体" w:hAnsi="黑体" w:eastAsia="黑体" w:cs="黑体"/>
          <w:sz w:val="32"/>
          <w:szCs w:val="32"/>
          <w:lang w:val="en-US" w:eastAsia="zh-CN"/>
        </w:rPr>
        <w:t>生态环境行政许可变更情况</w:t>
      </w:r>
    </w:p>
    <w:p>
      <w:pPr>
        <w:numPr>
          <w:ilvl w:val="0"/>
          <w:numId w:val="0"/>
        </w:numPr>
        <w:ind w:firstLine="640" w:firstLineChars="200"/>
        <w:rPr>
          <w:rFonts w:hint="default" w:ascii="黑体" w:hAnsi="黑体" w:eastAsia="黑体" w:cs="黑体"/>
          <w:b w:val="0"/>
          <w:bCs w:val="0"/>
          <w:sz w:val="32"/>
          <w:szCs w:val="32"/>
          <w:lang w:val="en-US" w:eastAsia="zh-CN"/>
        </w:rPr>
      </w:pPr>
      <w:r>
        <w:rPr>
          <w:rFonts w:hint="eastAsia" w:ascii="宋体" w:hAnsi="宋体" w:eastAsia="宋体" w:cs="宋体"/>
          <w:sz w:val="32"/>
          <w:szCs w:val="32"/>
          <w:lang w:val="en-US" w:eastAsia="zh-CN"/>
        </w:rPr>
        <w:t>我公司于2021年12月因排污许可证到期，按要求对排污许可证进行了延续，并通过相关环保部门的审核；2022年09月至11月按昌吉州生态厅、昌吉准东环保局的要求，对照规范对排污许可证内涉及内容进行的全面变更并通过专家审核及环保部门审批。2022年12月由于公司法人变更，再次申请变更排污许可证，已报环保部门审批。</w:t>
      </w:r>
    </w:p>
    <w:p>
      <w:pPr>
        <w:numPr>
          <w:ilvl w:val="0"/>
          <w:numId w:val="1"/>
        </w:numPr>
        <w:ind w:left="0" w:leftChars="0" w:firstLine="0" w:firstLineChars="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污染物排放情况</w:t>
      </w:r>
    </w:p>
    <w:p>
      <w:pPr>
        <w:numPr>
          <w:ilvl w:val="0"/>
          <w:numId w:val="0"/>
        </w:numPr>
        <w:ind w:leftChars="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截止2022年11月30日，我公司全年按超低排放标准严格污染物排放，排放量分别：NOx:1168.6吨，SO2:525.57 吨，颗粒物：64.75 吨。年平均排放浓度分别为：1号机组SO2:15.53mg/Nm3、颗粒物:2.34mg/Nm3、NOx:35.75mg/Nm3</w:t>
      </w:r>
    </w:p>
    <w:p>
      <w:pPr>
        <w:numPr>
          <w:ilvl w:val="0"/>
          <w:numId w:val="0"/>
        </w:numPr>
        <w:ind w:leftChars="0"/>
        <w:rPr>
          <w:rFonts w:hint="default" w:ascii="黑体" w:hAnsi="黑体" w:eastAsia="黑体" w:cs="黑体"/>
          <w:b w:val="0"/>
          <w:bCs w:val="0"/>
          <w:sz w:val="32"/>
          <w:szCs w:val="32"/>
          <w:lang w:val="en-US" w:eastAsia="zh-CN"/>
        </w:rPr>
      </w:pPr>
      <w:r>
        <w:rPr>
          <w:rFonts w:hint="eastAsia" w:ascii="宋体" w:hAnsi="宋体" w:eastAsia="宋体" w:cs="宋体"/>
          <w:sz w:val="32"/>
          <w:szCs w:val="32"/>
          <w:lang w:val="en-US" w:eastAsia="zh-CN"/>
        </w:rPr>
        <w:t>2号机组SO2:16.76mg/Nm3、NOx:37.67mg/Nm3、颗粒物:2.11mg/Nm3。</w:t>
      </w:r>
    </w:p>
    <w:p>
      <w:pPr>
        <w:numPr>
          <w:ilvl w:val="0"/>
          <w:numId w:val="0"/>
        </w:numPr>
        <w:ind w:leftChars="0" w:firstLine="3200" w:firstLineChars="10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企业基本信息</w:t>
      </w:r>
    </w:p>
    <w:tbl>
      <w:tblPr>
        <w:tblStyle w:val="3"/>
        <w:tblW w:w="84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2762"/>
        <w:gridCol w:w="244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289" w:type="dxa"/>
          </w:tcPr>
          <w:p>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企业名称</w:t>
            </w:r>
          </w:p>
        </w:tc>
        <w:tc>
          <w:tcPr>
            <w:tcW w:w="2762" w:type="dxa"/>
          </w:tcPr>
          <w:p>
            <w:pPr>
              <w:numPr>
                <w:ilvl w:val="0"/>
                <w:numId w:val="0"/>
              </w:numPr>
              <w:jc w:val="both"/>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新疆信友能源投资有限公司</w:t>
            </w:r>
          </w:p>
        </w:tc>
        <w:tc>
          <w:tcPr>
            <w:tcW w:w="2445" w:type="dxa"/>
          </w:tcPr>
          <w:p>
            <w:pPr>
              <w:numPr>
                <w:ilvl w:val="0"/>
                <w:numId w:val="0"/>
              </w:numPr>
              <w:jc w:val="center"/>
              <w:rPr>
                <w:rFonts w:hint="eastAsia" w:ascii="黑体" w:hAnsi="黑体" w:eastAsia="黑体" w:cs="黑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法定代表人</w:t>
            </w:r>
          </w:p>
        </w:tc>
        <w:tc>
          <w:tcPr>
            <w:tcW w:w="1905" w:type="dxa"/>
          </w:tcPr>
          <w:p>
            <w:pPr>
              <w:numPr>
                <w:ilvl w:val="0"/>
                <w:numId w:val="0"/>
              </w:numPr>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薛永生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289" w:type="dxa"/>
          </w:tcPr>
          <w:p>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注册地址</w:t>
            </w:r>
          </w:p>
        </w:tc>
        <w:tc>
          <w:tcPr>
            <w:tcW w:w="2762" w:type="dxa"/>
          </w:tcPr>
          <w:p>
            <w:pPr>
              <w:numPr>
                <w:ilvl w:val="0"/>
                <w:numId w:val="0"/>
              </w:num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新疆准东开发区西黑山产业园西黑山路25号</w:t>
            </w:r>
          </w:p>
        </w:tc>
        <w:tc>
          <w:tcPr>
            <w:tcW w:w="2445" w:type="dxa"/>
          </w:tcPr>
          <w:p>
            <w:pPr>
              <w:numPr>
                <w:ilvl w:val="0"/>
                <w:numId w:val="0"/>
              </w:num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生产地址</w:t>
            </w:r>
          </w:p>
        </w:tc>
        <w:tc>
          <w:tcPr>
            <w:tcW w:w="1905" w:type="dxa"/>
          </w:tcPr>
          <w:p>
            <w:pPr>
              <w:numPr>
                <w:ilvl w:val="0"/>
                <w:numId w:val="0"/>
              </w:num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新疆准东开发区西黑山产业园西黑山路25号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289" w:type="dxa"/>
          </w:tcPr>
          <w:p>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行业类别</w:t>
            </w:r>
          </w:p>
        </w:tc>
        <w:tc>
          <w:tcPr>
            <w:tcW w:w="2762" w:type="dxa"/>
            <w:vAlign w:val="top"/>
          </w:tcPr>
          <w:p>
            <w:pPr>
              <w:numPr>
                <w:ilvl w:val="0"/>
                <w:numId w:val="0"/>
              </w:numPr>
              <w:ind w:left="0" w:leftChars="0" w:firstLine="720" w:firstLineChars="300"/>
              <w:jc w:val="center"/>
              <w:rPr>
                <w:rFonts w:hint="eastAsia" w:ascii="宋体" w:hAnsi="宋体" w:eastAsia="宋体" w:cs="宋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火力发电</w:t>
            </w:r>
          </w:p>
        </w:tc>
        <w:tc>
          <w:tcPr>
            <w:tcW w:w="2445" w:type="dxa"/>
            <w:vAlign w:val="top"/>
          </w:tcPr>
          <w:p>
            <w:pPr>
              <w:numPr>
                <w:ilvl w:val="0"/>
                <w:numId w:val="0"/>
              </w:numPr>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企业性质</w:t>
            </w:r>
          </w:p>
        </w:tc>
        <w:tc>
          <w:tcPr>
            <w:tcW w:w="1905" w:type="dxa"/>
            <w:vAlign w:val="top"/>
          </w:tcPr>
          <w:p>
            <w:pPr>
              <w:numPr>
                <w:ilvl w:val="0"/>
                <w:numId w:val="0"/>
              </w:numPr>
              <w:ind w:left="0" w:leftChars="0" w:firstLine="0" w:firstLineChars="0"/>
              <w:jc w:val="center"/>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民营企业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2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企业联系人</w:t>
            </w:r>
          </w:p>
        </w:tc>
        <w:tc>
          <w:tcPr>
            <w:tcW w:w="27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郭静</w:t>
            </w:r>
          </w:p>
        </w:tc>
        <w:tc>
          <w:tcPr>
            <w:tcW w:w="24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联系方式</w:t>
            </w:r>
          </w:p>
        </w:tc>
        <w:tc>
          <w:tcPr>
            <w:tcW w:w="1905" w:type="dxa"/>
          </w:tcPr>
          <w:p>
            <w:pPr>
              <w:numPr>
                <w:ilvl w:val="0"/>
                <w:numId w:val="0"/>
              </w:numPr>
              <w:jc w:val="center"/>
              <w:rPr>
                <w:rFonts w:hint="default" w:ascii="黑体" w:hAnsi="黑体" w:eastAsia="黑体" w:cs="黑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15769038189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89" w:type="dxa"/>
          </w:tcPr>
          <w:p>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是否重点排污单位</w:t>
            </w:r>
          </w:p>
        </w:tc>
        <w:tc>
          <w:tcPr>
            <w:tcW w:w="2762" w:type="dxa"/>
            <w:vAlign w:val="top"/>
          </w:tcPr>
          <w:p>
            <w:pPr>
              <w:numPr>
                <w:ilvl w:val="0"/>
                <w:numId w:val="0"/>
              </w:numPr>
              <w:ind w:left="0" w:leftChars="0" w:firstLine="840" w:firstLineChars="400"/>
              <w:jc w:val="both"/>
              <w:rPr>
                <w:rFonts w:hint="eastAsia" w:ascii="宋体" w:hAnsi="宋体" w:eastAsia="宋体" w:cs="宋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是</w:t>
            </w:r>
          </w:p>
        </w:tc>
        <w:tc>
          <w:tcPr>
            <w:tcW w:w="2445" w:type="dxa"/>
            <w:vAlign w:val="top"/>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是否实施强制性清洁生产审核的企业</w:t>
            </w:r>
          </w:p>
        </w:tc>
        <w:tc>
          <w:tcPr>
            <w:tcW w:w="1905" w:type="dxa"/>
            <w:vAlign w:val="top"/>
          </w:tcPr>
          <w:p>
            <w:pPr>
              <w:numPr>
                <w:ilvl w:val="0"/>
                <w:numId w:val="0"/>
              </w:numPr>
              <w:ind w:left="0" w:leftChars="0" w:firstLine="0" w:firstLineChars="0"/>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 xml:space="preserve">  </w:t>
            </w:r>
            <w:r>
              <w:rPr>
                <w:rFonts w:hint="eastAsia" w:ascii="黑体" w:hAnsi="黑体" w:eastAsia="黑体" w:cs="黑体"/>
                <w:b w:val="0"/>
                <w:bCs w:val="0"/>
                <w:sz w:val="21"/>
                <w:szCs w:val="21"/>
                <w:vertAlign w:val="baseline"/>
                <w:lang w:val="en-US" w:eastAsia="zh-CN"/>
              </w:rPr>
              <w:t xml:space="preserve"> 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289" w:type="dxa"/>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产品与服务</w:t>
            </w:r>
          </w:p>
        </w:tc>
        <w:tc>
          <w:tcPr>
            <w:tcW w:w="2762" w:type="dxa"/>
            <w:vAlign w:val="top"/>
          </w:tcPr>
          <w:p>
            <w:pPr>
              <w:numPr>
                <w:ilvl w:val="0"/>
                <w:numId w:val="0"/>
              </w:numPr>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电力</w:t>
            </w:r>
          </w:p>
        </w:tc>
        <w:tc>
          <w:tcPr>
            <w:tcW w:w="2445" w:type="dxa"/>
            <w:vAlign w:val="top"/>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生产工艺的名称</w:t>
            </w:r>
          </w:p>
        </w:tc>
        <w:tc>
          <w:tcPr>
            <w:tcW w:w="1905" w:type="dxa"/>
            <w:vAlign w:val="top"/>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textAlignment w:val="auto"/>
              <w:rPr>
                <w:rFonts w:hint="eastAsia" w:ascii="宋体" w:hAnsi="宋体" w:eastAsia="宋体" w:cs="宋体"/>
                <w:b w:val="0"/>
                <w:bCs w:val="0"/>
                <w:sz w:val="32"/>
                <w:szCs w:val="32"/>
                <w:vertAlign w:val="baseline"/>
                <w:lang w:val="en-US" w:eastAsia="zh-CN"/>
              </w:rPr>
            </w:pPr>
            <w:r>
              <w:rPr>
                <w:rFonts w:hint="eastAsia" w:ascii="黑体" w:hAnsi="黑体" w:eastAsia="黑体" w:cs="黑体"/>
                <w:b w:val="0"/>
                <w:bCs w:val="0"/>
                <w:sz w:val="21"/>
                <w:szCs w:val="21"/>
                <w:vertAlign w:val="baseline"/>
                <w:lang w:val="en-US" w:eastAsia="zh-CN"/>
              </w:rPr>
              <w:t>火力发电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289" w:type="dxa"/>
          </w:tcPr>
          <w:p>
            <w:pPr>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eastAsia" w:ascii="宋体" w:hAnsi="宋体" w:eastAsia="宋体" w:cs="宋体"/>
                <w:b w:val="0"/>
                <w:bCs w:val="0"/>
                <w:sz w:val="32"/>
                <w:szCs w:val="32"/>
                <w:vertAlign w:val="baseline"/>
                <w:lang w:val="en-US" w:eastAsia="zh-CN"/>
              </w:rPr>
            </w:pPr>
            <w:r>
              <w:rPr>
                <w:rFonts w:hint="eastAsia" w:ascii="宋体" w:hAnsi="宋体" w:eastAsia="宋体" w:cs="宋体"/>
                <w:b w:val="0"/>
                <w:bCs w:val="0"/>
                <w:sz w:val="21"/>
                <w:szCs w:val="21"/>
                <w:vertAlign w:val="baseline"/>
                <w:lang w:val="en-US" w:eastAsia="zh-CN"/>
              </w:rPr>
              <w:t>生产工艺情况</w:t>
            </w:r>
          </w:p>
        </w:tc>
        <w:tc>
          <w:tcPr>
            <w:tcW w:w="7112"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textAlignment w:val="auto"/>
              <w:rPr>
                <w:rFonts w:hint="eastAsia" w:ascii="宋体" w:hAnsi="宋体" w:eastAsia="宋体" w:cs="宋体"/>
                <w:b w:val="0"/>
                <w:bCs w:val="0"/>
                <w:sz w:val="32"/>
                <w:szCs w:val="32"/>
                <w:vertAlign w:val="baseline"/>
                <w:lang w:val="en-US" w:eastAsia="zh-CN"/>
              </w:rPr>
            </w:pPr>
            <w:r>
              <w:rPr>
                <w:rFonts w:hint="eastAsia" w:ascii="黑体" w:hAnsi="黑体" w:eastAsia="黑体" w:cs="黑体"/>
                <w:b w:val="0"/>
                <w:bCs w:val="0"/>
                <w:sz w:val="21"/>
                <w:szCs w:val="21"/>
                <w:vertAlign w:val="baseline"/>
                <w:lang w:val="en-US" w:eastAsia="zh-CN"/>
              </w:rPr>
              <w:t>是将煤碳通过锅炉燃烧产生高温高压蒸汽，蒸汽通过在汽轮机做功再通过发电机最终转化为电力。</w:t>
            </w:r>
          </w:p>
        </w:tc>
      </w:tr>
    </w:tbl>
    <w:p>
      <w:pPr>
        <w:numPr>
          <w:ilvl w:val="0"/>
          <w:numId w:val="0"/>
        </w:numPr>
        <w:ind w:firstLine="2880" w:firstLineChars="900"/>
        <w:rPr>
          <w:rFonts w:hint="eastAsia" w:ascii="黑体" w:hAnsi="黑体" w:eastAsia="黑体" w:cs="黑体"/>
          <w:b w:val="0"/>
          <w:bCs w:val="0"/>
          <w:sz w:val="32"/>
          <w:szCs w:val="32"/>
          <w:lang w:val="en-US" w:eastAsia="zh-CN"/>
        </w:rPr>
      </w:pPr>
    </w:p>
    <w:p>
      <w:pPr>
        <w:numPr>
          <w:ilvl w:val="0"/>
          <w:numId w:val="0"/>
        </w:numPr>
        <w:ind w:firstLine="2880" w:firstLineChars="9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企业环境管理信息</w:t>
      </w:r>
    </w:p>
    <w:tbl>
      <w:tblPr>
        <w:tblStyle w:val="3"/>
        <w:tblW w:w="8822"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3"/>
        <w:gridCol w:w="1955"/>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3" w:type="dxa"/>
          </w:tcPr>
          <w:p>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许可名称</w:t>
            </w:r>
          </w:p>
        </w:tc>
        <w:tc>
          <w:tcPr>
            <w:tcW w:w="1955" w:type="dxa"/>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获得许可的审批文件</w:t>
            </w:r>
          </w:p>
        </w:tc>
        <w:tc>
          <w:tcPr>
            <w:tcW w:w="1704" w:type="dxa"/>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核发机关</w:t>
            </w:r>
          </w:p>
        </w:tc>
        <w:tc>
          <w:tcPr>
            <w:tcW w:w="1705" w:type="dxa"/>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获取时间</w:t>
            </w:r>
          </w:p>
        </w:tc>
        <w:tc>
          <w:tcPr>
            <w:tcW w:w="1705" w:type="dxa"/>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有效期限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3" w:type="dxa"/>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建设项目环境影响评价</w:t>
            </w:r>
          </w:p>
        </w:tc>
        <w:tc>
          <w:tcPr>
            <w:tcW w:w="1955" w:type="dxa"/>
            <w:vAlign w:val="top"/>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center"/>
              <w:textAlignment w:val="auto"/>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环审［2014］244号</w:t>
            </w:r>
          </w:p>
        </w:tc>
        <w:tc>
          <w:tcPr>
            <w:tcW w:w="1704" w:type="dxa"/>
            <w:vAlign w:val="top"/>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center"/>
              <w:textAlignment w:val="auto"/>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中华人民共和国环境保护部</w:t>
            </w:r>
          </w:p>
        </w:tc>
        <w:tc>
          <w:tcPr>
            <w:tcW w:w="1705" w:type="dxa"/>
            <w:vAlign w:val="top"/>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center"/>
              <w:textAlignment w:val="auto"/>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2014年09月16日</w:t>
            </w:r>
          </w:p>
        </w:tc>
        <w:tc>
          <w:tcPr>
            <w:tcW w:w="1705" w:type="dxa"/>
            <w:vAlign w:val="top"/>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center"/>
              <w:textAlignment w:val="auto"/>
              <w:rPr>
                <w:rFonts w:hint="eastAsia" w:ascii="黑体" w:hAnsi="黑体" w:eastAsia="黑体" w:cs="黑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有效期限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3" w:type="dxa"/>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排污许可证</w:t>
            </w:r>
          </w:p>
        </w:tc>
        <w:tc>
          <w:tcPr>
            <w:tcW w:w="1955" w:type="dxa"/>
            <w:vAlign w:val="top"/>
          </w:tcPr>
          <w:p>
            <w:pPr>
              <w:numPr>
                <w:ilvl w:val="0"/>
                <w:numId w:val="0"/>
              </w:numPr>
              <w:ind w:left="0" w:leftChars="0" w:firstLine="0" w:firstLineChars="0"/>
              <w:jc w:val="center"/>
              <w:rPr>
                <w:rFonts w:hint="default"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916523255643682499001p</w:t>
            </w:r>
          </w:p>
        </w:tc>
        <w:tc>
          <w:tcPr>
            <w:tcW w:w="1704" w:type="dxa"/>
            <w:vAlign w:val="top"/>
          </w:tcPr>
          <w:p>
            <w:pPr>
              <w:numPr>
                <w:ilvl w:val="0"/>
                <w:numId w:val="0"/>
              </w:numPr>
              <w:ind w:left="0" w:leftChars="0" w:firstLine="0" w:firstLineChars="0"/>
              <w:jc w:val="center"/>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新疆准东经济开发区生态环境局</w:t>
            </w:r>
          </w:p>
        </w:tc>
        <w:tc>
          <w:tcPr>
            <w:tcW w:w="1705" w:type="dxa"/>
            <w:vAlign w:val="top"/>
          </w:tcPr>
          <w:p>
            <w:pPr>
              <w:numPr>
                <w:ilvl w:val="0"/>
                <w:numId w:val="0"/>
              </w:numPr>
              <w:ind w:left="0" w:leftChars="0" w:firstLine="0" w:firstLineChars="0"/>
              <w:jc w:val="center"/>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2018年12月17日首次审领2021年12月17延续</w:t>
            </w:r>
          </w:p>
        </w:tc>
        <w:tc>
          <w:tcPr>
            <w:tcW w:w="1705" w:type="dxa"/>
            <w:vAlign w:val="top"/>
          </w:tcPr>
          <w:p>
            <w:pPr>
              <w:numPr>
                <w:ilvl w:val="0"/>
                <w:numId w:val="0"/>
              </w:numPr>
              <w:jc w:val="center"/>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第一次三年</w:t>
            </w:r>
          </w:p>
          <w:p>
            <w:pPr>
              <w:numPr>
                <w:ilvl w:val="0"/>
                <w:numId w:val="0"/>
              </w:numPr>
              <w:ind w:left="0" w:leftChars="0" w:firstLine="0" w:firstLineChars="0"/>
              <w:jc w:val="center"/>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第二次五年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1753" w:type="dxa"/>
            <w:vAlign w:val="top"/>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1"/>
                <w:szCs w:val="21"/>
                <w:vertAlign w:val="baseline"/>
                <w:lang w:val="en-US" w:eastAsia="zh-CN"/>
              </w:rPr>
              <w:t>突发环境事件应急预案备案号</w:t>
            </w:r>
          </w:p>
        </w:tc>
        <w:tc>
          <w:tcPr>
            <w:tcW w:w="1955" w:type="dxa"/>
            <w:vAlign w:val="top"/>
          </w:tcPr>
          <w:p>
            <w:pPr>
              <w:numPr>
                <w:ilvl w:val="0"/>
                <w:numId w:val="0"/>
              </w:numPr>
              <w:ind w:left="0" w:leftChars="0" w:firstLine="0" w:firstLineChars="0"/>
              <w:jc w:val="center"/>
              <w:rPr>
                <w:rFonts w:hint="default"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2019年652327-2019-14-L</w:t>
            </w:r>
          </w:p>
          <w:p>
            <w:pPr>
              <w:numPr>
                <w:ilvl w:val="0"/>
                <w:numId w:val="0"/>
              </w:numPr>
              <w:ind w:left="0" w:leftChars="0" w:firstLine="0" w:firstLineChars="0"/>
              <w:jc w:val="center"/>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1"/>
                <w:szCs w:val="21"/>
                <w:vertAlign w:val="baseline"/>
                <w:lang w:val="en-US" w:eastAsia="zh-CN"/>
              </w:rPr>
              <w:t>2021年：652327-2021-39-L</w:t>
            </w:r>
          </w:p>
        </w:tc>
        <w:tc>
          <w:tcPr>
            <w:tcW w:w="1704" w:type="dxa"/>
            <w:vAlign w:val="top"/>
          </w:tcPr>
          <w:p>
            <w:pPr>
              <w:numPr>
                <w:ilvl w:val="0"/>
                <w:numId w:val="0"/>
              </w:numPr>
              <w:ind w:left="0" w:leftChars="0" w:firstLine="0" w:firstLineChars="0"/>
              <w:jc w:val="center"/>
            </w:pPr>
            <w:r>
              <w:rPr>
                <w:rFonts w:hint="eastAsia" w:ascii="黑体" w:hAnsi="黑体" w:eastAsia="黑体" w:cs="黑体"/>
                <w:b w:val="0"/>
                <w:bCs w:val="0"/>
                <w:sz w:val="21"/>
                <w:szCs w:val="21"/>
                <w:vertAlign w:val="baseline"/>
                <w:lang w:val="en-US" w:eastAsia="zh-CN"/>
              </w:rPr>
              <w:t>新疆准东经济开发区生态环境局</w:t>
            </w:r>
          </w:p>
        </w:tc>
        <w:tc>
          <w:tcPr>
            <w:tcW w:w="1705" w:type="dxa"/>
            <w:vAlign w:val="top"/>
          </w:tcPr>
          <w:p>
            <w:pPr>
              <w:numPr>
                <w:ilvl w:val="0"/>
                <w:numId w:val="0"/>
              </w:numPr>
              <w:jc w:val="center"/>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2018年10月</w:t>
            </w:r>
          </w:p>
          <w:p>
            <w:pPr>
              <w:numPr>
                <w:ilvl w:val="0"/>
                <w:numId w:val="0"/>
              </w:numPr>
              <w:ind w:left="0" w:leftChars="0" w:firstLine="0" w:firstLineChars="0"/>
              <w:jc w:val="center"/>
            </w:pPr>
            <w:r>
              <w:rPr>
                <w:rFonts w:hint="eastAsia" w:ascii="黑体" w:hAnsi="黑体" w:eastAsia="黑体" w:cs="黑体"/>
                <w:b w:val="0"/>
                <w:bCs w:val="0"/>
                <w:sz w:val="21"/>
                <w:szCs w:val="21"/>
                <w:vertAlign w:val="baseline"/>
                <w:lang w:val="en-US" w:eastAsia="zh-CN"/>
              </w:rPr>
              <w:t>2021年10月27</w:t>
            </w:r>
          </w:p>
        </w:tc>
        <w:tc>
          <w:tcPr>
            <w:tcW w:w="1705" w:type="dxa"/>
            <w:vAlign w:val="top"/>
          </w:tcPr>
          <w:p>
            <w:pPr>
              <w:numPr>
                <w:ilvl w:val="0"/>
                <w:numId w:val="0"/>
              </w:numPr>
              <w:ind w:left="0" w:leftChars="0" w:firstLine="0" w:firstLineChars="0"/>
              <w:jc w:val="center"/>
            </w:pPr>
            <w:r>
              <w:rPr>
                <w:rFonts w:hint="eastAsia" w:ascii="黑体" w:hAnsi="黑体" w:eastAsia="黑体" w:cs="黑体"/>
                <w:b w:val="0"/>
                <w:bCs w:val="0"/>
                <w:sz w:val="21"/>
                <w:szCs w:val="21"/>
                <w:vertAlign w:val="baseline"/>
                <w:lang w:val="en-US" w:eastAsia="zh-CN"/>
              </w:rPr>
              <w:t>三年</w:t>
            </w:r>
          </w:p>
        </w:tc>
      </w:tr>
    </w:tbl>
    <w:p>
      <w:pPr>
        <w:numPr>
          <w:ilvl w:val="0"/>
          <w:numId w:val="0"/>
        </w:numPr>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 xml:space="preserve">                  </w:t>
      </w:r>
    </w:p>
    <w:p>
      <w:pPr>
        <w:numPr>
          <w:ilvl w:val="0"/>
          <w:numId w:val="0"/>
        </w:numPr>
        <w:ind w:firstLine="1920" w:firstLineChars="600"/>
        <w:rPr>
          <w:rFonts w:hint="default" w:ascii="黑体" w:hAnsi="黑体" w:eastAsia="黑体" w:cs="黑体"/>
          <w:b w:val="0"/>
          <w:bCs w:val="0"/>
          <w:sz w:val="28"/>
          <w:szCs w:val="28"/>
          <w:lang w:val="en-US" w:eastAsia="zh-CN"/>
        </w:rPr>
      </w:pPr>
      <w:r>
        <w:rPr>
          <w:rFonts w:hint="eastAsia" w:ascii="黑体" w:hAnsi="黑体" w:eastAsia="黑体" w:cs="黑体"/>
          <w:b w:val="0"/>
          <w:bCs w:val="0"/>
          <w:sz w:val="32"/>
          <w:szCs w:val="32"/>
          <w:lang w:val="en-US" w:eastAsia="zh-CN"/>
        </w:rPr>
        <w:t xml:space="preserve"> 环境保护税缴纳信息</w:t>
      </w:r>
      <w:r>
        <w:rPr>
          <w:rFonts w:hint="eastAsia" w:ascii="黑体" w:hAnsi="黑体" w:eastAsia="黑体" w:cs="黑体"/>
          <w:b w:val="0"/>
          <w:bCs w:val="0"/>
          <w:sz w:val="28"/>
          <w:szCs w:val="28"/>
          <w:lang w:val="en-US" w:eastAsia="zh-CN"/>
        </w:rPr>
        <w:t xml:space="preserve">      </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6"/>
        <w:gridCol w:w="3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6" w:type="dxa"/>
          </w:tcPr>
          <w:p>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环境保护税分税目缴纳额</w:t>
            </w:r>
          </w:p>
        </w:tc>
        <w:tc>
          <w:tcPr>
            <w:tcW w:w="3796" w:type="dxa"/>
          </w:tcPr>
          <w:p>
            <w:pPr>
              <w:numPr>
                <w:ilvl w:val="0"/>
                <w:numId w:val="0"/>
              </w:num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2054599.444（含2021年第4季度）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6" w:type="dxa"/>
          </w:tcPr>
          <w:p>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实际缴纳总额</w:t>
            </w:r>
          </w:p>
        </w:tc>
        <w:tc>
          <w:tcPr>
            <w:tcW w:w="3796" w:type="dxa"/>
          </w:tcPr>
          <w:p>
            <w:pPr>
              <w:numPr>
                <w:ilvl w:val="0"/>
                <w:numId w:val="0"/>
              </w:num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2781664.15（含2021年第4季度）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6" w:type="dxa"/>
          </w:tcPr>
          <w:p>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依法依规享受税收减征或免征的情况</w:t>
            </w:r>
          </w:p>
        </w:tc>
        <w:tc>
          <w:tcPr>
            <w:tcW w:w="3796" w:type="dxa"/>
          </w:tcPr>
          <w:p>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2781664.15（含2021年第4季度）</w:t>
            </w:r>
          </w:p>
        </w:tc>
      </w:tr>
    </w:tbl>
    <w:p>
      <w:pPr>
        <w:numPr>
          <w:ilvl w:val="0"/>
          <w:numId w:val="0"/>
        </w:numPr>
        <w:rPr>
          <w:rFonts w:hint="eastAsia" w:ascii="黑体" w:hAnsi="黑体" w:eastAsia="黑体" w:cs="黑体"/>
          <w:b w:val="0"/>
          <w:bCs w:val="0"/>
          <w:sz w:val="28"/>
          <w:szCs w:val="28"/>
          <w:lang w:val="en-US" w:eastAsia="zh-CN"/>
        </w:rPr>
      </w:pPr>
    </w:p>
    <w:p>
      <w:pPr>
        <w:numPr>
          <w:ilvl w:val="0"/>
          <w:numId w:val="0"/>
        </w:numPr>
        <w:rPr>
          <w:rFonts w:hint="eastAsia" w:ascii="黑体" w:hAnsi="黑体" w:eastAsia="黑体" w:cs="黑体"/>
          <w:b w:val="0"/>
          <w:bCs w:val="0"/>
          <w:sz w:val="32"/>
          <w:szCs w:val="32"/>
          <w:lang w:val="en-US" w:eastAsia="zh-CN"/>
        </w:rPr>
      </w:pPr>
      <w:r>
        <w:rPr>
          <w:rFonts w:hint="eastAsia" w:ascii="黑体" w:hAnsi="黑体" w:eastAsia="黑体" w:cs="黑体"/>
          <w:b w:val="0"/>
          <w:bCs w:val="0"/>
          <w:sz w:val="28"/>
          <w:szCs w:val="28"/>
          <w:lang w:val="en-US" w:eastAsia="zh-CN"/>
        </w:rPr>
        <w:t xml:space="preserve">             </w:t>
      </w:r>
      <w:r>
        <w:rPr>
          <w:rFonts w:hint="eastAsia" w:ascii="黑体" w:hAnsi="黑体" w:eastAsia="黑体" w:cs="黑体"/>
          <w:b w:val="0"/>
          <w:bCs w:val="0"/>
          <w:sz w:val="32"/>
          <w:szCs w:val="32"/>
          <w:lang w:val="en-US" w:eastAsia="zh-CN"/>
        </w:rPr>
        <w:t xml:space="preserve">   污染物产生、治理与排放信息</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污染防治设施的名称</w:t>
            </w:r>
          </w:p>
        </w:tc>
        <w:tc>
          <w:tcPr>
            <w:tcW w:w="2130" w:type="dxa"/>
            <w:vAlign w:val="top"/>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1"/>
                <w:szCs w:val="21"/>
                <w:vertAlign w:val="baseline"/>
                <w:lang w:val="en-US" w:eastAsia="zh-CN"/>
              </w:rPr>
              <w:t>1号、2号锅炉脱硝系统</w:t>
            </w:r>
          </w:p>
        </w:tc>
        <w:tc>
          <w:tcPr>
            <w:tcW w:w="2131" w:type="dxa"/>
            <w:vAlign w:val="top"/>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1"/>
                <w:szCs w:val="21"/>
                <w:vertAlign w:val="baseline"/>
                <w:lang w:val="en-US" w:eastAsia="zh-CN"/>
              </w:rPr>
              <w:t>1号2号锅炉电除尘系统</w:t>
            </w:r>
          </w:p>
        </w:tc>
        <w:tc>
          <w:tcPr>
            <w:tcW w:w="2131" w:type="dxa"/>
            <w:vAlign w:val="top"/>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1"/>
                <w:szCs w:val="21"/>
                <w:vertAlign w:val="baseline"/>
                <w:lang w:val="en-US" w:eastAsia="zh-CN"/>
              </w:rPr>
              <w:t>1号2号锅炉脱硫系统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对应的产污环节</w:t>
            </w:r>
          </w:p>
        </w:tc>
        <w:tc>
          <w:tcPr>
            <w:tcW w:w="2130" w:type="dxa"/>
            <w:vAlign w:val="top"/>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1"/>
                <w:szCs w:val="21"/>
                <w:vertAlign w:val="baseline"/>
                <w:lang w:val="en-US" w:eastAsia="zh-CN"/>
              </w:rPr>
              <w:t>减少NOx排放</w:t>
            </w:r>
          </w:p>
        </w:tc>
        <w:tc>
          <w:tcPr>
            <w:tcW w:w="2131" w:type="dxa"/>
            <w:vAlign w:val="top"/>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1"/>
                <w:szCs w:val="21"/>
                <w:vertAlign w:val="baseline"/>
                <w:lang w:val="en-US" w:eastAsia="zh-CN"/>
              </w:rPr>
              <w:t>减少颗粒物排放</w:t>
            </w:r>
          </w:p>
        </w:tc>
        <w:tc>
          <w:tcPr>
            <w:tcW w:w="2131" w:type="dxa"/>
            <w:vAlign w:val="top"/>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1"/>
                <w:szCs w:val="21"/>
                <w:vertAlign w:val="baseline"/>
                <w:lang w:val="en-US" w:eastAsia="zh-CN"/>
              </w:rPr>
              <w:t>减少S02排放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处理的污染物</w:t>
            </w:r>
          </w:p>
        </w:tc>
        <w:tc>
          <w:tcPr>
            <w:tcW w:w="2130" w:type="dxa"/>
            <w:vAlign w:val="top"/>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1"/>
                <w:szCs w:val="21"/>
                <w:vertAlign w:val="baseline"/>
                <w:lang w:val="en-US" w:eastAsia="zh-CN"/>
              </w:rPr>
              <w:t>NOx</w:t>
            </w:r>
          </w:p>
        </w:tc>
        <w:tc>
          <w:tcPr>
            <w:tcW w:w="2131" w:type="dxa"/>
            <w:vAlign w:val="top"/>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1"/>
                <w:szCs w:val="21"/>
                <w:vertAlign w:val="baseline"/>
                <w:lang w:val="en-US" w:eastAsia="zh-CN"/>
              </w:rPr>
              <w:t>颗粒物</w:t>
            </w:r>
          </w:p>
        </w:tc>
        <w:tc>
          <w:tcPr>
            <w:tcW w:w="2131" w:type="dxa"/>
            <w:vAlign w:val="top"/>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1"/>
                <w:szCs w:val="21"/>
                <w:vertAlign w:val="baseline"/>
                <w:lang w:val="en-US" w:eastAsia="zh-CN"/>
              </w:rPr>
              <w:t>S02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对应排污口的名称</w:t>
            </w:r>
          </w:p>
        </w:tc>
        <w:tc>
          <w:tcPr>
            <w:tcW w:w="2130" w:type="dxa"/>
            <w:vAlign w:val="top"/>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1"/>
                <w:szCs w:val="21"/>
                <w:vertAlign w:val="baseline"/>
                <w:lang w:val="en-US" w:eastAsia="zh-CN"/>
              </w:rPr>
              <w:t>1号、2号脱硫出口</w:t>
            </w:r>
          </w:p>
        </w:tc>
        <w:tc>
          <w:tcPr>
            <w:tcW w:w="2131" w:type="dxa"/>
            <w:vAlign w:val="top"/>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1"/>
                <w:szCs w:val="21"/>
                <w:vertAlign w:val="baseline"/>
                <w:lang w:val="en-US" w:eastAsia="zh-CN"/>
              </w:rPr>
              <w:t>1号、2号脱硫出口</w:t>
            </w:r>
          </w:p>
        </w:tc>
        <w:tc>
          <w:tcPr>
            <w:tcW w:w="2131" w:type="dxa"/>
            <w:vAlign w:val="top"/>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1"/>
                <w:szCs w:val="21"/>
                <w:vertAlign w:val="baseline"/>
                <w:lang w:val="en-US" w:eastAsia="zh-CN"/>
              </w:rPr>
              <w:t>1号、2号脱硫出口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对应排污口的编号</w:t>
            </w:r>
          </w:p>
        </w:tc>
        <w:tc>
          <w:tcPr>
            <w:tcW w:w="2130" w:type="dxa"/>
            <w:vAlign w:val="top"/>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1"/>
                <w:szCs w:val="21"/>
                <w:vertAlign w:val="baseline"/>
                <w:lang w:val="en-US" w:eastAsia="zh-CN"/>
              </w:rPr>
              <w:t>DA001、DA002</w:t>
            </w:r>
          </w:p>
        </w:tc>
        <w:tc>
          <w:tcPr>
            <w:tcW w:w="2131" w:type="dxa"/>
            <w:vAlign w:val="top"/>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1"/>
                <w:szCs w:val="21"/>
                <w:vertAlign w:val="baseline"/>
                <w:lang w:val="en-US" w:eastAsia="zh-CN"/>
              </w:rPr>
              <w:t>DA001、DA002</w:t>
            </w:r>
          </w:p>
        </w:tc>
        <w:tc>
          <w:tcPr>
            <w:tcW w:w="2131" w:type="dxa"/>
            <w:vAlign w:val="top"/>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1"/>
                <w:szCs w:val="21"/>
                <w:vertAlign w:val="baseline"/>
                <w:lang w:val="en-US" w:eastAsia="zh-CN"/>
              </w:rPr>
              <w:t>DA001、DA002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排放的污染物次数、日期及时长</w:t>
            </w:r>
          </w:p>
        </w:tc>
        <w:tc>
          <w:tcPr>
            <w:tcW w:w="2130" w:type="dxa"/>
            <w:vAlign w:val="top"/>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1"/>
                <w:szCs w:val="21"/>
                <w:vertAlign w:val="baseline"/>
                <w:lang w:val="en-US" w:eastAsia="zh-CN"/>
              </w:rPr>
              <w:t>随机组运行投运</w:t>
            </w:r>
          </w:p>
        </w:tc>
        <w:tc>
          <w:tcPr>
            <w:tcW w:w="2131" w:type="dxa"/>
            <w:vAlign w:val="top"/>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1"/>
                <w:szCs w:val="21"/>
                <w:vertAlign w:val="baseline"/>
                <w:lang w:val="en-US" w:eastAsia="zh-CN"/>
              </w:rPr>
              <w:t>随机组运行投运</w:t>
            </w:r>
          </w:p>
        </w:tc>
        <w:tc>
          <w:tcPr>
            <w:tcW w:w="2131" w:type="dxa"/>
            <w:vAlign w:val="top"/>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1"/>
                <w:szCs w:val="21"/>
                <w:vertAlign w:val="baseline"/>
                <w:lang w:val="en-US" w:eastAsia="zh-CN"/>
              </w:rPr>
              <w:t>随机组运行投运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排放的污染物主要原因</w:t>
            </w:r>
          </w:p>
        </w:tc>
        <w:tc>
          <w:tcPr>
            <w:tcW w:w="2130" w:type="dxa"/>
            <w:vAlign w:val="top"/>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1"/>
                <w:szCs w:val="21"/>
                <w:vertAlign w:val="baseline"/>
                <w:lang w:val="en-US" w:eastAsia="zh-CN"/>
              </w:rPr>
              <w:t>发电产生</w:t>
            </w:r>
          </w:p>
        </w:tc>
        <w:tc>
          <w:tcPr>
            <w:tcW w:w="2131" w:type="dxa"/>
            <w:vAlign w:val="top"/>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1"/>
                <w:szCs w:val="21"/>
                <w:vertAlign w:val="baseline"/>
                <w:lang w:val="en-US" w:eastAsia="zh-CN"/>
              </w:rPr>
              <w:t>发电产生</w:t>
            </w:r>
          </w:p>
        </w:tc>
        <w:tc>
          <w:tcPr>
            <w:tcW w:w="2131" w:type="dxa"/>
            <w:vAlign w:val="top"/>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1"/>
                <w:szCs w:val="21"/>
                <w:vertAlign w:val="baseline"/>
                <w:lang w:val="en-US" w:eastAsia="zh-CN"/>
              </w:rPr>
              <w:t>发电产生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污染防治设施运行维护情况</w:t>
            </w:r>
          </w:p>
        </w:tc>
        <w:tc>
          <w:tcPr>
            <w:tcW w:w="2130" w:type="dxa"/>
            <w:vAlign w:val="top"/>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1"/>
                <w:szCs w:val="21"/>
                <w:vertAlign w:val="baseline"/>
                <w:lang w:val="en-US" w:eastAsia="zh-CN"/>
              </w:rPr>
              <w:t>正常</w:t>
            </w:r>
          </w:p>
        </w:tc>
        <w:tc>
          <w:tcPr>
            <w:tcW w:w="2131" w:type="dxa"/>
            <w:vAlign w:val="top"/>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1"/>
                <w:szCs w:val="21"/>
                <w:vertAlign w:val="baseline"/>
                <w:lang w:val="en-US" w:eastAsia="zh-CN"/>
              </w:rPr>
              <w:t>正常</w:t>
            </w:r>
          </w:p>
        </w:tc>
        <w:tc>
          <w:tcPr>
            <w:tcW w:w="2131" w:type="dxa"/>
            <w:vAlign w:val="top"/>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1"/>
                <w:szCs w:val="21"/>
                <w:vertAlign w:val="baseline"/>
                <w:lang w:val="en-US" w:eastAsia="zh-CN"/>
              </w:rPr>
              <w:t>正常</w:t>
            </w:r>
          </w:p>
        </w:tc>
      </w:tr>
    </w:tbl>
    <w:p>
      <w:pPr>
        <w:numPr>
          <w:ilvl w:val="0"/>
          <w:numId w:val="0"/>
        </w:numPr>
        <w:rPr>
          <w:rFonts w:hint="eastAsia" w:ascii="宋体" w:hAnsi="宋体" w:eastAsia="宋体" w:cs="宋体"/>
          <w:b w:val="0"/>
          <w:bCs w:val="0"/>
          <w:sz w:val="28"/>
          <w:szCs w:val="28"/>
          <w:lang w:val="en-US" w:eastAsia="zh-CN"/>
        </w:rPr>
      </w:pPr>
    </w:p>
    <w:p>
      <w:pPr>
        <w:numPr>
          <w:ilvl w:val="0"/>
          <w:numId w:val="0"/>
        </w:numPr>
        <w:ind w:firstLine="3200" w:firstLineChars="10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排污许可执行报告</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排污许可证管理类别</w:t>
            </w:r>
          </w:p>
        </w:tc>
        <w:tc>
          <w:tcPr>
            <w:tcW w:w="4261" w:type="dxa"/>
            <w:vAlign w:val="top"/>
          </w:tcPr>
          <w:p>
            <w:pPr>
              <w:numPr>
                <w:ilvl w:val="0"/>
                <w:numId w:val="0"/>
              </w:numPr>
              <w:ind w:left="0" w:leftChars="0" w:firstLine="0" w:firstLineChars="0"/>
              <w:jc w:val="center"/>
              <w:rPr>
                <w:rFonts w:hint="eastAsia" w:ascii="黑体" w:hAnsi="黑体" w:eastAsia="黑体" w:cs="黑体"/>
                <w:b w:val="0"/>
                <w:bCs w:val="0"/>
                <w:sz w:val="32"/>
                <w:szCs w:val="32"/>
                <w:vertAlign w:val="baseline"/>
                <w:lang w:val="en-US" w:eastAsia="zh-CN"/>
              </w:rPr>
            </w:pPr>
            <w:r>
              <w:rPr>
                <w:rFonts w:hint="eastAsia" w:ascii="宋体" w:hAnsi="宋体" w:eastAsia="宋体" w:cs="宋体"/>
                <w:b w:val="0"/>
                <w:bCs w:val="0"/>
                <w:sz w:val="21"/>
                <w:szCs w:val="21"/>
                <w:vertAlign w:val="baseline"/>
                <w:lang w:val="en-US" w:eastAsia="zh-CN"/>
              </w:rPr>
              <w:t>重点管理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执行报告应编制公开的次数</w:t>
            </w:r>
          </w:p>
        </w:tc>
        <w:tc>
          <w:tcPr>
            <w:tcW w:w="4261" w:type="dxa"/>
            <w:vAlign w:val="top"/>
          </w:tcPr>
          <w:p>
            <w:pPr>
              <w:numPr>
                <w:ilvl w:val="0"/>
                <w:numId w:val="0"/>
              </w:numPr>
              <w:ind w:left="0" w:leftChars="0" w:firstLine="0" w:firstLineChars="0"/>
              <w:jc w:val="center"/>
              <w:rPr>
                <w:rFonts w:hint="eastAsia" w:ascii="黑体" w:hAnsi="黑体" w:eastAsia="黑体" w:cs="黑体"/>
                <w:b w:val="0"/>
                <w:bCs w:val="0"/>
                <w:sz w:val="32"/>
                <w:szCs w:val="32"/>
                <w:vertAlign w:val="baseline"/>
                <w:lang w:val="en-US" w:eastAsia="zh-CN"/>
              </w:rPr>
            </w:pPr>
            <w:r>
              <w:rPr>
                <w:rFonts w:hint="eastAsia" w:ascii="宋体" w:hAnsi="宋体" w:eastAsia="宋体" w:cs="宋体"/>
                <w:b w:val="0"/>
                <w:bCs w:val="0"/>
                <w:sz w:val="21"/>
                <w:szCs w:val="21"/>
                <w:vertAlign w:val="baseline"/>
                <w:lang w:val="en-US" w:eastAsia="zh-CN"/>
              </w:rPr>
              <w:t>17次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实际编制公开的次数</w:t>
            </w:r>
          </w:p>
        </w:tc>
        <w:tc>
          <w:tcPr>
            <w:tcW w:w="4261" w:type="dxa"/>
            <w:vAlign w:val="top"/>
          </w:tcPr>
          <w:p>
            <w:pPr>
              <w:numPr>
                <w:ilvl w:val="0"/>
                <w:numId w:val="0"/>
              </w:numPr>
              <w:ind w:left="0" w:leftChars="0" w:firstLine="0" w:firstLineChars="0"/>
              <w:jc w:val="center"/>
              <w:rPr>
                <w:rFonts w:hint="eastAsia" w:ascii="黑体" w:hAnsi="黑体" w:eastAsia="黑体" w:cs="黑体"/>
                <w:b w:val="0"/>
                <w:bCs w:val="0"/>
                <w:sz w:val="32"/>
                <w:szCs w:val="32"/>
                <w:vertAlign w:val="baseline"/>
                <w:lang w:val="en-US" w:eastAsia="zh-CN"/>
              </w:rPr>
            </w:pPr>
            <w:r>
              <w:rPr>
                <w:rFonts w:hint="eastAsia" w:ascii="宋体" w:hAnsi="宋体" w:eastAsia="宋体" w:cs="宋体"/>
                <w:b w:val="0"/>
                <w:bCs w:val="0"/>
                <w:sz w:val="21"/>
                <w:szCs w:val="21"/>
                <w:vertAlign w:val="baseline"/>
                <w:lang w:val="en-US" w:eastAsia="zh-CN"/>
              </w:rPr>
              <w:t>14次（四季度及年报未到期）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发布信息</w:t>
            </w:r>
          </w:p>
        </w:tc>
        <w:tc>
          <w:tcPr>
            <w:tcW w:w="4261" w:type="dxa"/>
            <w:vAlign w:val="top"/>
          </w:tcPr>
          <w:p>
            <w:pPr>
              <w:numPr>
                <w:ilvl w:val="0"/>
                <w:numId w:val="0"/>
              </w:numPr>
              <w:ind w:left="0" w:leftChars="0" w:firstLine="0" w:firstLineChars="0"/>
              <w:jc w:val="center"/>
              <w:rPr>
                <w:rFonts w:hint="eastAsia" w:ascii="黑体" w:hAnsi="黑体" w:eastAsia="黑体" w:cs="黑体"/>
                <w:b w:val="0"/>
                <w:bCs w:val="0"/>
                <w:sz w:val="32"/>
                <w:szCs w:val="32"/>
                <w:vertAlign w:val="baseline"/>
                <w:lang w:val="en-US" w:eastAsia="zh-CN"/>
              </w:rPr>
            </w:pPr>
            <w:r>
              <w:rPr>
                <w:rFonts w:hint="eastAsia" w:ascii="宋体" w:hAnsi="宋体" w:eastAsia="宋体" w:cs="宋体"/>
                <w:b w:val="0"/>
                <w:bCs w:val="0"/>
                <w:sz w:val="21"/>
                <w:szCs w:val="21"/>
                <w:vertAlign w:val="baseline"/>
                <w:lang w:val="en-US" w:eastAsia="zh-CN"/>
              </w:rPr>
              <w:t>14次</w:t>
            </w:r>
          </w:p>
        </w:tc>
      </w:tr>
    </w:tbl>
    <w:p>
      <w:pPr>
        <w:numPr>
          <w:ilvl w:val="0"/>
          <w:numId w:val="0"/>
        </w:num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               </w:t>
      </w:r>
    </w:p>
    <w:p>
      <w:pPr>
        <w:numPr>
          <w:ilvl w:val="0"/>
          <w:numId w:val="0"/>
        </w:num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                  生态环境应急信息</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突发环境事件应急预案</w:t>
            </w:r>
          </w:p>
        </w:tc>
        <w:tc>
          <w:tcPr>
            <w:tcW w:w="4261" w:type="dxa"/>
            <w:vAlign w:val="top"/>
          </w:tcPr>
          <w:p>
            <w:pPr>
              <w:numPr>
                <w:ilvl w:val="0"/>
                <w:numId w:val="0"/>
              </w:numPr>
              <w:ind w:left="0" w:leftChars="0" w:firstLine="0" w:firstLineChars="0"/>
              <w:jc w:val="left"/>
              <w:rPr>
                <w:rFonts w:hint="default" w:ascii="黑体" w:hAnsi="黑体" w:eastAsia="黑体" w:cs="黑体"/>
                <w:b w:val="0"/>
                <w:bCs w:val="0"/>
                <w:sz w:val="32"/>
                <w:szCs w:val="32"/>
                <w:vertAlign w:val="baseline"/>
                <w:lang w:val="en-US" w:eastAsia="zh-CN"/>
              </w:rPr>
            </w:pPr>
            <w:r>
              <w:rPr>
                <w:rFonts w:hint="eastAsia" w:ascii="宋体" w:hAnsi="宋体" w:eastAsia="宋体" w:cs="宋体"/>
                <w:b w:val="0"/>
                <w:bCs w:val="0"/>
                <w:sz w:val="21"/>
                <w:szCs w:val="21"/>
                <w:vertAlign w:val="baseline"/>
                <w:lang w:val="en-US" w:eastAsia="zh-CN"/>
              </w:rPr>
              <w:t>新疆信友能源投资有限公司突发环境事件应急预案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备案机关</w:t>
            </w:r>
          </w:p>
        </w:tc>
        <w:tc>
          <w:tcPr>
            <w:tcW w:w="4261" w:type="dxa"/>
            <w:vAlign w:val="top"/>
          </w:tcPr>
          <w:p>
            <w:pPr>
              <w:numPr>
                <w:ilvl w:val="0"/>
                <w:numId w:val="0"/>
              </w:numPr>
              <w:ind w:left="0" w:leftChars="0" w:firstLine="0" w:firstLineChars="0"/>
              <w:jc w:val="left"/>
              <w:rPr>
                <w:rFonts w:hint="default" w:ascii="黑体" w:hAnsi="黑体" w:eastAsia="黑体" w:cs="黑体"/>
                <w:b w:val="0"/>
                <w:bCs w:val="0"/>
                <w:sz w:val="32"/>
                <w:szCs w:val="32"/>
                <w:vertAlign w:val="baseline"/>
                <w:lang w:val="en-US" w:eastAsia="zh-CN"/>
              </w:rPr>
            </w:pPr>
            <w:r>
              <w:rPr>
                <w:rFonts w:hint="eastAsia" w:ascii="宋体" w:hAnsi="宋体" w:eastAsia="宋体" w:cs="宋体"/>
                <w:b w:val="0"/>
                <w:bCs w:val="0"/>
                <w:sz w:val="21"/>
                <w:szCs w:val="21"/>
                <w:vertAlign w:val="baseline"/>
                <w:lang w:val="en-US" w:eastAsia="zh-CN"/>
              </w:rPr>
              <w:t>新疆准东经济开发区生态环境局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备案编号</w:t>
            </w:r>
          </w:p>
        </w:tc>
        <w:tc>
          <w:tcPr>
            <w:tcW w:w="4261" w:type="dxa"/>
            <w:vAlign w:val="top"/>
          </w:tcPr>
          <w:p>
            <w:pPr>
              <w:numPr>
                <w:ilvl w:val="0"/>
                <w:numId w:val="0"/>
              </w:numPr>
              <w:ind w:left="0" w:leftChars="0" w:firstLine="0" w:firstLineChars="0"/>
              <w:jc w:val="left"/>
              <w:rPr>
                <w:rFonts w:hint="default" w:ascii="黑体" w:hAnsi="黑体" w:eastAsia="黑体" w:cs="黑体"/>
                <w:b w:val="0"/>
                <w:bCs w:val="0"/>
                <w:sz w:val="32"/>
                <w:szCs w:val="32"/>
                <w:vertAlign w:val="baseline"/>
                <w:lang w:val="en-US" w:eastAsia="zh-CN"/>
              </w:rPr>
            </w:pPr>
            <w:r>
              <w:rPr>
                <w:rFonts w:hint="eastAsia" w:ascii="黑体" w:hAnsi="黑体" w:eastAsia="黑体" w:cs="黑体"/>
                <w:b w:val="0"/>
                <w:bCs w:val="0"/>
                <w:sz w:val="21"/>
                <w:szCs w:val="21"/>
                <w:vertAlign w:val="baseline"/>
                <w:lang w:val="en-US" w:eastAsia="zh-CN"/>
              </w:rPr>
              <w:t>652327-2021-39-L</w:t>
            </w:r>
          </w:p>
        </w:tc>
      </w:tr>
    </w:tbl>
    <w:p>
      <w:pPr>
        <w:numPr>
          <w:ilvl w:val="0"/>
          <w:numId w:val="0"/>
        </w:numPr>
        <w:rPr>
          <w:rFonts w:hint="default" w:ascii="黑体" w:hAnsi="黑体" w:eastAsia="黑体" w:cs="黑体"/>
          <w:b w:val="0"/>
          <w:bCs w:val="0"/>
          <w:sz w:val="32"/>
          <w:szCs w:val="32"/>
          <w:lang w:val="en-US" w:eastAsia="zh-CN"/>
        </w:rPr>
      </w:pPr>
    </w:p>
    <w:p>
      <w:pPr>
        <w:numPr>
          <w:ilvl w:val="0"/>
          <w:numId w:val="0"/>
        </w:num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28"/>
          <w:szCs w:val="28"/>
          <w:lang w:val="en-US" w:eastAsia="zh-CN"/>
        </w:rPr>
        <w:t>重污染天气应急响应情况</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rPr>
                <w:rFonts w:hint="eastAsia" w:ascii="宋体" w:hAnsi="宋体" w:eastAsia="宋体" w:cs="宋体"/>
                <w:b w:val="0"/>
                <w:bCs w:val="0"/>
                <w:sz w:val="21"/>
                <w:szCs w:val="21"/>
                <w:vertAlign w:val="baseline"/>
                <w:lang w:val="en-US" w:eastAsia="zh-CN"/>
              </w:rPr>
            </w:pPr>
            <w:r>
              <w:rPr>
                <w:rFonts w:hint="eastAsia" w:ascii="黑体" w:hAnsi="黑体" w:eastAsia="黑体" w:cs="黑体"/>
                <w:vertAlign w:val="baseline"/>
                <w:lang w:val="en-US" w:eastAsia="zh-CN"/>
              </w:rPr>
              <w:t>重污染天气应急预案编制情况</w:t>
            </w:r>
          </w:p>
        </w:tc>
        <w:tc>
          <w:tcPr>
            <w:tcW w:w="4261" w:type="dxa"/>
            <w:vAlign w:val="top"/>
          </w:tcPr>
          <w:p>
            <w:pPr>
              <w:rPr>
                <w:rFonts w:hint="default" w:ascii="黑体" w:hAnsi="黑体" w:eastAsia="黑体" w:cs="黑体"/>
                <w:b w:val="0"/>
                <w:bCs w:val="0"/>
                <w:sz w:val="32"/>
                <w:szCs w:val="32"/>
                <w:vertAlign w:val="baseline"/>
                <w:lang w:val="en-US" w:eastAsia="zh-CN"/>
              </w:rPr>
            </w:pPr>
            <w:r>
              <w:rPr>
                <w:rFonts w:hint="eastAsia" w:ascii="黑体" w:hAnsi="黑体" w:eastAsia="黑体" w:cs="黑体"/>
                <w:vertAlign w:val="baseline"/>
                <w:lang w:val="en-US" w:eastAsia="zh-CN"/>
              </w:rPr>
              <w:t>已完成编制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rPr>
                <w:rFonts w:hint="eastAsia" w:ascii="宋体" w:hAnsi="宋体" w:eastAsia="宋体" w:cs="宋体"/>
                <w:b w:val="0"/>
                <w:bCs w:val="0"/>
                <w:sz w:val="21"/>
                <w:szCs w:val="21"/>
                <w:vertAlign w:val="baseline"/>
                <w:lang w:val="en-US" w:eastAsia="zh-CN"/>
              </w:rPr>
            </w:pPr>
            <w:r>
              <w:rPr>
                <w:rFonts w:hint="eastAsia" w:ascii="黑体" w:hAnsi="黑体" w:eastAsia="黑体" w:cs="黑体"/>
                <w:vertAlign w:val="baseline"/>
                <w:lang w:val="en-US" w:eastAsia="zh-CN"/>
              </w:rPr>
              <w:t>一厂一策公示牌落实情况</w:t>
            </w:r>
          </w:p>
        </w:tc>
        <w:tc>
          <w:tcPr>
            <w:tcW w:w="4261" w:type="dxa"/>
            <w:vAlign w:val="top"/>
          </w:tcPr>
          <w:p>
            <w:pPr>
              <w:rPr>
                <w:rFonts w:hint="default" w:ascii="黑体" w:hAnsi="黑体" w:eastAsia="黑体" w:cs="黑体"/>
                <w:b w:val="0"/>
                <w:bCs w:val="0"/>
                <w:sz w:val="32"/>
                <w:szCs w:val="32"/>
                <w:vertAlign w:val="baseline"/>
                <w:lang w:val="en-US" w:eastAsia="zh-CN"/>
              </w:rPr>
            </w:pPr>
            <w:r>
              <w:rPr>
                <w:rFonts w:hint="eastAsia" w:ascii="黑体" w:hAnsi="黑体" w:eastAsia="黑体" w:cs="黑体"/>
                <w:vertAlign w:val="baseline"/>
                <w:lang w:val="en-US" w:eastAsia="zh-CN"/>
              </w:rPr>
              <w:t>已落实，滚动屏幕已进行播放</w:t>
            </w:r>
          </w:p>
        </w:tc>
      </w:tr>
    </w:tbl>
    <w:p>
      <w:pPr>
        <w:jc w:val="center"/>
        <w:rPr>
          <w:rFonts w:hint="eastAsia"/>
          <w:b/>
          <w:bCs/>
          <w:sz w:val="24"/>
          <w:szCs w:val="32"/>
          <w:lang w:val="en-US" w:eastAsia="zh-CN"/>
        </w:rPr>
      </w:pPr>
    </w:p>
    <w:tbl>
      <w:tblPr>
        <w:tblStyle w:val="3"/>
        <w:tblpPr w:leftFromText="180" w:rightFromText="180" w:vertAnchor="page" w:horzAnchor="page" w:tblpX="2085" w:tblpY="1728"/>
        <w:tblOverlap w:val="never"/>
        <w:tblW w:w="78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4"/>
        <w:gridCol w:w="3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812" w:type="dxa"/>
            <w:gridSpan w:val="2"/>
          </w:tcPr>
          <w:p>
            <w:pPr>
              <w:jc w:val="center"/>
              <w:rPr>
                <w:rFonts w:hint="eastAsia" w:eastAsiaTheme="minorEastAsia"/>
                <w:vertAlign w:val="baseline"/>
                <w:lang w:val="en-US" w:eastAsia="zh-CN"/>
              </w:rPr>
            </w:pPr>
            <w:r>
              <w:rPr>
                <w:rFonts w:hint="eastAsia" w:ascii="黑体" w:hAnsi="黑体" w:eastAsia="黑体" w:cs="黑体"/>
                <w:b/>
                <w:bCs/>
                <w:sz w:val="24"/>
                <w:szCs w:val="24"/>
                <w:vertAlign w:val="baseline"/>
                <w:lang w:val="en-US" w:eastAsia="zh-CN"/>
              </w:rPr>
              <w:t>有组织排放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464" w:type="dxa"/>
          </w:tcPr>
          <w:p>
            <w:pPr>
              <w:jc w:val="left"/>
              <w:rPr>
                <w:rFonts w:hint="eastAsia" w:ascii="黑体" w:hAnsi="黑体" w:eastAsia="黑体" w:cs="黑体"/>
                <w:vertAlign w:val="baseline"/>
              </w:rPr>
            </w:pPr>
            <w:r>
              <w:rPr>
                <w:rFonts w:hint="eastAsia" w:ascii="黑体" w:hAnsi="黑体" w:eastAsia="黑体" w:cs="黑体"/>
                <w:vertAlign w:val="baseline"/>
                <w:lang w:eastAsia="zh-CN"/>
              </w:rPr>
              <w:t>大气污染物名称</w:t>
            </w:r>
          </w:p>
        </w:tc>
        <w:tc>
          <w:tcPr>
            <w:tcW w:w="3348" w:type="dxa"/>
          </w:tcPr>
          <w:p>
            <w:pPr>
              <w:jc w:val="left"/>
              <w:rPr>
                <w:rFonts w:hint="default" w:ascii="黑体" w:hAnsi="黑体" w:eastAsia="黑体" w:cs="黑体"/>
                <w:vertAlign w:val="baseline"/>
                <w:lang w:val="en-US" w:eastAsia="zh-CN"/>
              </w:rPr>
            </w:pPr>
            <w:r>
              <w:rPr>
                <w:rFonts w:hint="eastAsia" w:ascii="黑体" w:hAnsi="黑体" w:eastAsia="黑体" w:cs="黑体"/>
                <w:vertAlign w:val="baseline"/>
                <w:lang w:val="en-US" w:eastAsia="zh-CN"/>
              </w:rPr>
              <w:t>NOx、颗粒物、S02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464" w:type="dxa"/>
          </w:tcPr>
          <w:p>
            <w:pPr>
              <w:jc w:val="left"/>
              <w:rPr>
                <w:rFonts w:hint="eastAsia" w:ascii="黑体" w:hAnsi="黑体" w:eastAsia="黑体" w:cs="黑体"/>
                <w:vertAlign w:val="baseline"/>
              </w:rPr>
            </w:pPr>
            <w:r>
              <w:rPr>
                <w:rFonts w:hint="eastAsia" w:ascii="黑体" w:hAnsi="黑体" w:eastAsia="黑体" w:cs="黑体"/>
                <w:vertAlign w:val="baseline"/>
                <w:lang w:eastAsia="zh-CN"/>
              </w:rPr>
              <w:t>大气污染物排污口的数量</w:t>
            </w:r>
          </w:p>
        </w:tc>
        <w:tc>
          <w:tcPr>
            <w:tcW w:w="3348" w:type="dxa"/>
          </w:tcPr>
          <w:p>
            <w:pPr>
              <w:jc w:val="left"/>
              <w:rPr>
                <w:rFonts w:hint="default" w:ascii="黑体" w:hAnsi="黑体" w:eastAsia="黑体" w:cs="黑体"/>
                <w:vertAlign w:val="baseline"/>
                <w:lang w:val="en-US" w:eastAsia="zh-CN"/>
              </w:rPr>
            </w:pPr>
            <w:r>
              <w:rPr>
                <w:rFonts w:hint="eastAsia" w:ascii="黑体" w:hAnsi="黑体" w:eastAsia="黑体" w:cs="黑体"/>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464" w:type="dxa"/>
            <w:vMerge w:val="restart"/>
          </w:tcPr>
          <w:p>
            <w:pPr>
              <w:jc w:val="left"/>
              <w:rPr>
                <w:rFonts w:hint="eastAsia" w:ascii="黑体" w:hAnsi="黑体" w:eastAsia="黑体" w:cs="黑体"/>
                <w:vertAlign w:val="baseline"/>
                <w:lang w:eastAsia="zh-CN"/>
              </w:rPr>
            </w:pPr>
          </w:p>
          <w:p>
            <w:pPr>
              <w:jc w:val="left"/>
              <w:rPr>
                <w:rFonts w:hint="eastAsia" w:ascii="黑体" w:hAnsi="黑体" w:eastAsia="黑体" w:cs="黑体"/>
                <w:vertAlign w:val="baseline"/>
              </w:rPr>
            </w:pPr>
            <w:r>
              <w:rPr>
                <w:rFonts w:hint="eastAsia" w:ascii="黑体" w:hAnsi="黑体" w:eastAsia="黑体" w:cs="黑体"/>
                <w:vertAlign w:val="baseline"/>
                <w:lang w:eastAsia="zh-CN"/>
              </w:rPr>
              <w:t>主要排污口各项污染物的实际排放总量</w:t>
            </w:r>
          </w:p>
        </w:tc>
        <w:tc>
          <w:tcPr>
            <w:tcW w:w="3348" w:type="dxa"/>
          </w:tcPr>
          <w:p>
            <w:pPr>
              <w:jc w:val="left"/>
              <w:rPr>
                <w:rFonts w:hint="eastAsia" w:ascii="黑体" w:hAnsi="黑体" w:eastAsia="黑体" w:cs="黑体"/>
                <w:vertAlign w:val="baseline"/>
                <w:lang w:eastAsia="zh-CN"/>
              </w:rPr>
            </w:pPr>
            <w:r>
              <w:rPr>
                <w:rFonts w:hint="eastAsia" w:ascii="黑体" w:hAnsi="黑体" w:eastAsia="黑体" w:cs="黑体"/>
                <w:vertAlign w:val="baseline"/>
                <w:lang w:val="en-US" w:eastAsia="zh-CN"/>
              </w:rPr>
              <w:t>NOx: 1168.6</w:t>
            </w:r>
            <w:r>
              <w:rPr>
                <w:rFonts w:hint="eastAsia" w:ascii="黑体" w:hAnsi="黑体" w:eastAsia="黑体" w:cs="黑体"/>
                <w:vertAlign w:val="baseline"/>
                <w:lang w:val="en-US" w:eastAsia="zh-CN"/>
              </w:rPr>
              <w:t xml:space="preserve">  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464" w:type="dxa"/>
            <w:vMerge w:val="continue"/>
          </w:tcPr>
          <w:p>
            <w:pPr>
              <w:jc w:val="left"/>
              <w:rPr>
                <w:rFonts w:hint="eastAsia" w:ascii="黑体" w:hAnsi="黑体" w:eastAsia="黑体" w:cs="黑体"/>
                <w:vertAlign w:val="baseline"/>
              </w:rPr>
            </w:pPr>
          </w:p>
        </w:tc>
        <w:tc>
          <w:tcPr>
            <w:tcW w:w="3348" w:type="dxa"/>
          </w:tcPr>
          <w:p>
            <w:pPr>
              <w:jc w:val="left"/>
              <w:rPr>
                <w:rFonts w:hint="eastAsia" w:ascii="黑体" w:hAnsi="黑体" w:eastAsia="黑体" w:cs="黑体"/>
                <w:vertAlign w:val="baseline"/>
                <w:lang w:eastAsia="zh-CN"/>
              </w:rPr>
            </w:pPr>
            <w:r>
              <w:rPr>
                <w:rFonts w:hint="eastAsia" w:ascii="黑体" w:hAnsi="黑体" w:eastAsia="黑体" w:cs="黑体"/>
                <w:vertAlign w:val="baseline"/>
                <w:lang w:val="en-US" w:eastAsia="zh-CN"/>
              </w:rPr>
              <w:t>SO2: 525.57</w:t>
            </w:r>
            <w:r>
              <w:rPr>
                <w:rFonts w:hint="eastAsia" w:ascii="黑体" w:hAnsi="黑体" w:eastAsia="黑体" w:cs="黑体"/>
                <w:vertAlign w:val="baseline"/>
                <w:lang w:val="en-US" w:eastAsia="zh-CN"/>
              </w:rPr>
              <w:t xml:space="preserve">  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464" w:type="dxa"/>
            <w:vMerge w:val="continue"/>
          </w:tcPr>
          <w:p>
            <w:pPr>
              <w:jc w:val="left"/>
              <w:rPr>
                <w:rFonts w:hint="eastAsia" w:ascii="黑体" w:hAnsi="黑体" w:eastAsia="黑体" w:cs="黑体"/>
                <w:vertAlign w:val="baseline"/>
              </w:rPr>
            </w:pPr>
          </w:p>
        </w:tc>
        <w:tc>
          <w:tcPr>
            <w:tcW w:w="3348" w:type="dxa"/>
          </w:tcPr>
          <w:p>
            <w:pPr>
              <w:jc w:val="left"/>
              <w:rPr>
                <w:rFonts w:hint="eastAsia" w:ascii="黑体" w:hAnsi="黑体" w:eastAsia="黑体" w:cs="黑体"/>
                <w:vertAlign w:val="baseline"/>
                <w:lang w:eastAsia="zh-CN"/>
              </w:rPr>
            </w:pPr>
            <w:r>
              <w:rPr>
                <w:rFonts w:hint="eastAsia" w:ascii="黑体" w:hAnsi="黑体" w:eastAsia="黑体" w:cs="黑体"/>
                <w:vertAlign w:val="baseline"/>
                <w:lang w:val="en-US" w:eastAsia="zh-CN"/>
              </w:rPr>
              <w:t xml:space="preserve">颗粒物：64.75 </w:t>
            </w:r>
            <w:r>
              <w:rPr>
                <w:rFonts w:hint="eastAsia" w:ascii="黑体" w:hAnsi="黑体" w:eastAsia="黑体" w:cs="黑体"/>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464" w:type="dxa"/>
            <w:vMerge w:val="restart"/>
          </w:tcPr>
          <w:p>
            <w:pPr>
              <w:jc w:val="left"/>
              <w:rPr>
                <w:rFonts w:hint="eastAsia" w:ascii="黑体" w:hAnsi="黑体" w:eastAsia="黑体" w:cs="黑体"/>
                <w:vertAlign w:val="baseline"/>
              </w:rPr>
            </w:pPr>
          </w:p>
          <w:p>
            <w:pPr>
              <w:bidi w:val="0"/>
              <w:jc w:val="left"/>
              <w:rPr>
                <w:rFonts w:hint="eastAsia" w:ascii="黑体" w:hAnsi="黑体" w:eastAsia="黑体" w:cs="黑体"/>
                <w:kern w:val="2"/>
                <w:sz w:val="21"/>
                <w:szCs w:val="24"/>
                <w:lang w:val="en-US" w:eastAsia="zh-CN" w:bidi="ar-SA"/>
              </w:rPr>
            </w:pPr>
            <w:r>
              <w:rPr>
                <w:rFonts w:hint="eastAsia" w:ascii="黑体" w:hAnsi="黑体" w:eastAsia="黑体" w:cs="黑体"/>
                <w:kern w:val="2"/>
                <w:sz w:val="21"/>
                <w:szCs w:val="24"/>
                <w:lang w:val="en-US" w:eastAsia="zh-CN" w:bidi="ar-SA"/>
              </w:rPr>
              <w:t>大气污染物小时浓度的年度平均值</w:t>
            </w:r>
          </w:p>
        </w:tc>
        <w:tc>
          <w:tcPr>
            <w:tcW w:w="3348" w:type="dxa"/>
          </w:tcPr>
          <w:p>
            <w:pPr>
              <w:ind w:left="630" w:hanging="630" w:hangingChars="300"/>
              <w:jc w:val="left"/>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1号机组NOx：35.75mg/Nm3；</w:t>
            </w:r>
          </w:p>
          <w:p>
            <w:pPr>
              <w:ind w:left="630" w:hanging="630" w:hangingChars="300"/>
              <w:jc w:val="left"/>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2号机组NOx：37.67mg/Nm3</w:t>
            </w:r>
          </w:p>
          <w:p>
            <w:pPr>
              <w:ind w:left="630" w:hanging="630" w:hangingChars="300"/>
              <w:jc w:val="left"/>
              <w:rPr>
                <w:rFonts w:hint="eastAsia" w:ascii="黑体" w:hAnsi="黑体" w:eastAsia="黑体" w:cs="黑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464" w:type="dxa"/>
            <w:vMerge w:val="continue"/>
          </w:tcPr>
          <w:p>
            <w:pPr>
              <w:jc w:val="left"/>
              <w:rPr>
                <w:rFonts w:hint="eastAsia" w:ascii="黑体" w:hAnsi="黑体" w:eastAsia="黑体" w:cs="黑体"/>
                <w:vertAlign w:val="baseline"/>
              </w:rPr>
            </w:pPr>
          </w:p>
        </w:tc>
        <w:tc>
          <w:tcPr>
            <w:tcW w:w="3348" w:type="dxa"/>
          </w:tcPr>
          <w:p>
            <w:pPr>
              <w:ind w:left="630" w:hanging="630" w:hangingChars="300"/>
              <w:jc w:val="left"/>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1号机组SO2：15.53mg/Nm3；</w:t>
            </w:r>
          </w:p>
          <w:p>
            <w:pPr>
              <w:jc w:val="left"/>
              <w:rPr>
                <w:rFonts w:hint="default" w:ascii="黑体" w:hAnsi="黑体" w:eastAsia="黑体" w:cs="黑体"/>
                <w:vertAlign w:val="baseline"/>
                <w:lang w:val="en-US" w:eastAsia="zh-CN"/>
              </w:rPr>
            </w:pPr>
            <w:r>
              <w:rPr>
                <w:rFonts w:hint="eastAsia" w:ascii="黑体" w:hAnsi="黑体" w:eastAsia="黑体" w:cs="黑体"/>
                <w:vertAlign w:val="baseline"/>
                <w:lang w:val="en-US" w:eastAsia="zh-CN"/>
              </w:rPr>
              <w:t>2号机组SO2：16.76mg/Nm3</w:t>
            </w:r>
          </w:p>
          <w:p>
            <w:pPr>
              <w:jc w:val="left"/>
              <w:rPr>
                <w:rFonts w:hint="eastAsia" w:ascii="黑体" w:hAnsi="黑体" w:eastAsia="黑体" w:cs="黑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4464" w:type="dxa"/>
            <w:vMerge w:val="continue"/>
          </w:tcPr>
          <w:p>
            <w:pPr>
              <w:jc w:val="left"/>
              <w:rPr>
                <w:rFonts w:hint="eastAsia" w:ascii="黑体" w:hAnsi="黑体" w:eastAsia="黑体" w:cs="黑体"/>
                <w:vertAlign w:val="baseline"/>
              </w:rPr>
            </w:pPr>
          </w:p>
        </w:tc>
        <w:tc>
          <w:tcPr>
            <w:tcW w:w="3348" w:type="dxa"/>
          </w:tcPr>
          <w:p>
            <w:pPr>
              <w:jc w:val="left"/>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1号机组颗粒物：2.34mg/Nm3；</w:t>
            </w:r>
          </w:p>
          <w:p>
            <w:pPr>
              <w:jc w:val="left"/>
              <w:rPr>
                <w:rFonts w:hint="default" w:ascii="黑体" w:hAnsi="黑体" w:eastAsia="黑体" w:cs="黑体"/>
                <w:vertAlign w:val="baseline"/>
                <w:lang w:val="en-US" w:eastAsia="zh-CN"/>
              </w:rPr>
            </w:pPr>
            <w:r>
              <w:rPr>
                <w:rFonts w:hint="eastAsia" w:ascii="黑体" w:hAnsi="黑体" w:eastAsia="黑体" w:cs="黑体"/>
                <w:vertAlign w:val="baseline"/>
                <w:lang w:val="en-US" w:eastAsia="zh-CN"/>
              </w:rPr>
              <w:t>2号机组颗粒物：2.11mg/Nm3；</w:t>
            </w:r>
          </w:p>
          <w:p>
            <w:pPr>
              <w:jc w:val="left"/>
              <w:rPr>
                <w:rFonts w:hint="eastAsia" w:ascii="黑体" w:hAnsi="黑体" w:eastAsia="黑体" w:cs="黑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464" w:type="dxa"/>
          </w:tcPr>
          <w:p>
            <w:pPr>
              <w:jc w:val="left"/>
              <w:rPr>
                <w:rFonts w:hint="eastAsia" w:ascii="黑体" w:hAnsi="黑体" w:eastAsia="黑体" w:cs="黑体"/>
                <w:vertAlign w:val="baseline"/>
              </w:rPr>
            </w:pPr>
            <w:r>
              <w:rPr>
                <w:rFonts w:hint="eastAsia" w:ascii="黑体" w:hAnsi="黑体" w:eastAsia="黑体" w:cs="黑体"/>
                <w:vertAlign w:val="baseline"/>
              </w:rPr>
              <w:t>各排污口安装污染源在线自动监测设备及与生态环境部门联网情况</w:t>
            </w:r>
          </w:p>
        </w:tc>
        <w:tc>
          <w:tcPr>
            <w:tcW w:w="3348" w:type="dxa"/>
          </w:tcPr>
          <w:p>
            <w:pPr>
              <w:jc w:val="left"/>
              <w:rPr>
                <w:rFonts w:hint="eastAsia" w:ascii="黑体" w:hAnsi="黑体" w:eastAsia="黑体" w:cs="黑体"/>
                <w:vertAlign w:val="baseline"/>
                <w:lang w:eastAsia="zh-CN"/>
              </w:rPr>
            </w:pPr>
            <w:r>
              <w:rPr>
                <w:rFonts w:hint="eastAsia" w:ascii="黑体" w:hAnsi="黑体" w:eastAsia="黑体" w:cs="黑体"/>
                <w:vertAlign w:val="baseline"/>
                <w:lang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812" w:type="dxa"/>
            <w:gridSpan w:val="2"/>
          </w:tcPr>
          <w:p>
            <w:pPr>
              <w:jc w:val="center"/>
              <w:rPr>
                <w:vertAlign w:val="baseline"/>
              </w:rPr>
            </w:pPr>
            <w:r>
              <w:rPr>
                <w:rFonts w:hint="eastAsia" w:ascii="黑体" w:hAnsi="黑体" w:eastAsia="黑体" w:cs="黑体"/>
                <w:b/>
                <w:bCs/>
                <w:sz w:val="24"/>
                <w:szCs w:val="24"/>
                <w:vertAlign w:val="baseline"/>
                <w:lang w:val="en-US" w:eastAsia="zh-CN"/>
              </w:rPr>
              <w:t>无组织排放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464" w:type="dxa"/>
          </w:tcPr>
          <w:p>
            <w:pPr>
              <w:jc w:val="left"/>
              <w:rPr>
                <w:rFonts w:hint="eastAsia" w:ascii="黑体" w:hAnsi="黑体" w:eastAsia="黑体" w:cs="黑体"/>
                <w:vertAlign w:val="baseline"/>
              </w:rPr>
            </w:pPr>
            <w:r>
              <w:rPr>
                <w:rFonts w:hint="eastAsia" w:ascii="黑体" w:hAnsi="黑体" w:eastAsia="黑体" w:cs="黑体"/>
                <w:vertAlign w:val="baseline"/>
              </w:rPr>
              <w:t>无组织排放污染物名称</w:t>
            </w:r>
          </w:p>
        </w:tc>
        <w:tc>
          <w:tcPr>
            <w:tcW w:w="3348" w:type="dxa"/>
          </w:tcPr>
          <w:p>
            <w:pPr>
              <w:rPr>
                <w:rFonts w:hint="default" w:eastAsiaTheme="minorEastAsia"/>
                <w:vertAlign w:val="baseline"/>
                <w:lang w:val="en-US" w:eastAsia="zh-CN"/>
              </w:rPr>
            </w:pPr>
            <w:r>
              <w:rPr>
                <w:rFonts w:hint="eastAsia" w:ascii="黑体" w:hAnsi="黑体" w:eastAsia="黑体" w:cs="黑体"/>
                <w:vertAlign w:val="baseline"/>
                <w:lang w:val="en-US" w:eastAsia="zh-CN"/>
              </w:rPr>
              <w:t>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464" w:type="dxa"/>
          </w:tcPr>
          <w:p>
            <w:pPr>
              <w:jc w:val="left"/>
              <w:rPr>
                <w:rFonts w:hint="eastAsia" w:ascii="黑体" w:hAnsi="黑体" w:eastAsia="黑体" w:cs="黑体"/>
                <w:vertAlign w:val="baseline"/>
              </w:rPr>
            </w:pPr>
            <w:r>
              <w:rPr>
                <w:rFonts w:hint="eastAsia" w:ascii="黑体" w:hAnsi="黑体" w:eastAsia="黑体" w:cs="黑体"/>
                <w:vertAlign w:val="baseline"/>
              </w:rPr>
              <w:t>无组织排放监测点位名称</w:t>
            </w:r>
          </w:p>
        </w:tc>
        <w:tc>
          <w:tcPr>
            <w:tcW w:w="3348" w:type="dxa"/>
          </w:tcPr>
          <w:p>
            <w:pPr>
              <w:rPr>
                <w:rFonts w:hint="default" w:eastAsiaTheme="minorEastAsia"/>
                <w:vertAlign w:val="baseline"/>
                <w:lang w:val="en-US" w:eastAsia="zh-CN"/>
              </w:rPr>
            </w:pPr>
            <w:r>
              <w:rPr>
                <w:rFonts w:hint="eastAsia"/>
                <w:vertAlign w:val="baseline"/>
                <w:lang w:val="en-US" w:eastAsia="zh-CN"/>
              </w:rPr>
              <w:t>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4464" w:type="dxa"/>
          </w:tcPr>
          <w:p>
            <w:pPr>
              <w:jc w:val="left"/>
              <w:rPr>
                <w:rFonts w:hint="eastAsia" w:ascii="黑体" w:hAnsi="黑体" w:eastAsia="黑体" w:cs="黑体"/>
                <w:vertAlign w:val="baseline"/>
              </w:rPr>
            </w:pPr>
          </w:p>
          <w:p>
            <w:pPr>
              <w:jc w:val="left"/>
              <w:rPr>
                <w:rFonts w:hint="eastAsia" w:ascii="黑体" w:hAnsi="黑体" w:eastAsia="黑体" w:cs="黑体"/>
                <w:vertAlign w:val="baseline"/>
              </w:rPr>
            </w:pPr>
            <w:r>
              <w:rPr>
                <w:rFonts w:hint="eastAsia" w:ascii="黑体" w:hAnsi="黑体" w:eastAsia="黑体" w:cs="黑体"/>
                <w:vertAlign w:val="baseline"/>
              </w:rPr>
              <w:t>各监测点位主要大气污染物实际排放浓度</w:t>
            </w:r>
          </w:p>
        </w:tc>
        <w:tc>
          <w:tcPr>
            <w:tcW w:w="3348" w:type="dxa"/>
          </w:tcPr>
          <w:p>
            <w:pPr>
              <w:rPr>
                <w:rFonts w:hint="default" w:ascii="黑体" w:hAnsi="黑体" w:eastAsia="黑体" w:cs="黑体"/>
                <w:vertAlign w:val="baseline"/>
                <w:lang w:val="en-US" w:eastAsia="zh-CN"/>
              </w:rPr>
            </w:pPr>
            <w:r>
              <w:rPr>
                <w:rFonts w:hint="eastAsia" w:ascii="黑体" w:hAnsi="黑体" w:eastAsia="黑体" w:cs="黑体"/>
                <w:vertAlign w:val="baseline"/>
                <w:lang w:val="en-US" w:eastAsia="zh-CN"/>
              </w:rPr>
              <w:t>颗粒物最大值：0.14mg/m3</w:t>
            </w:r>
          </w:p>
          <w:p>
            <w:pPr>
              <w:rPr>
                <w:vertAlign w:val="baseline"/>
              </w:rPr>
            </w:pPr>
            <w:r>
              <w:rPr>
                <w:rFonts w:hint="eastAsia" w:ascii="黑体" w:hAnsi="黑体" w:eastAsia="黑体" w:cs="黑体"/>
                <w:vertAlign w:val="baseline"/>
                <w:lang w:val="en-US" w:eastAsia="zh-CN"/>
              </w:rPr>
              <w:t>氨最大值：0.194mg/m3</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812" w:type="dxa"/>
            <w:gridSpan w:val="2"/>
          </w:tcPr>
          <w:p>
            <w:pPr>
              <w:jc w:val="center"/>
              <w:rPr>
                <w:rFonts w:hint="eastAsia" w:eastAsiaTheme="minorEastAsia"/>
                <w:vertAlign w:val="baseline"/>
                <w:lang w:eastAsia="zh-CN"/>
              </w:rPr>
            </w:pPr>
            <w:r>
              <w:rPr>
                <w:rFonts w:hint="eastAsia" w:ascii="黑体" w:hAnsi="黑体" w:eastAsia="黑体" w:cs="黑体"/>
                <w:b/>
                <w:bCs/>
                <w:sz w:val="24"/>
                <w:szCs w:val="24"/>
                <w:vertAlign w:val="baseline"/>
                <w:lang w:eastAsia="zh-CN"/>
              </w:rPr>
              <w:t>其他信息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464" w:type="dxa"/>
          </w:tcPr>
          <w:p>
            <w:pPr>
              <w:rPr>
                <w:rFonts w:hint="eastAsia" w:ascii="黑体" w:hAnsi="黑体" w:eastAsia="黑体" w:cs="黑体"/>
                <w:vertAlign w:val="baseline"/>
              </w:rPr>
            </w:pPr>
            <w:r>
              <w:rPr>
                <w:rFonts w:hint="eastAsia" w:ascii="黑体" w:hAnsi="黑体" w:eastAsia="黑体" w:cs="黑体"/>
                <w:vertAlign w:val="baseline"/>
              </w:rPr>
              <w:t>全年生产天数</w:t>
            </w:r>
          </w:p>
        </w:tc>
        <w:tc>
          <w:tcPr>
            <w:tcW w:w="3348" w:type="dxa"/>
          </w:tcPr>
          <w:p>
            <w:pPr>
              <w:rPr>
                <w:rFonts w:hint="default" w:eastAsiaTheme="minorEastAsia"/>
                <w:vertAlign w:val="baseline"/>
                <w:lang w:val="en-US" w:eastAsia="zh-CN"/>
              </w:rPr>
            </w:pPr>
            <w:r>
              <w:rPr>
                <w:rFonts w:hint="eastAsia"/>
                <w:vertAlign w:val="baseline"/>
                <w:lang w:val="en-US" w:eastAsia="zh-CN"/>
              </w:rPr>
              <w:t>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464" w:type="dxa"/>
          </w:tcPr>
          <w:p>
            <w:pPr>
              <w:rPr>
                <w:rFonts w:hint="eastAsia" w:ascii="黑体" w:hAnsi="黑体" w:eastAsia="黑体" w:cs="黑体"/>
                <w:vertAlign w:val="baseline"/>
              </w:rPr>
            </w:pPr>
            <w:r>
              <w:rPr>
                <w:rFonts w:hint="eastAsia" w:ascii="黑体" w:hAnsi="黑体" w:eastAsia="黑体" w:cs="黑体"/>
                <w:vertAlign w:val="baseline"/>
              </w:rPr>
              <w:t>自行监测天数(或次数)</w:t>
            </w:r>
          </w:p>
        </w:tc>
        <w:tc>
          <w:tcPr>
            <w:tcW w:w="3348" w:type="dxa"/>
          </w:tcPr>
          <w:p>
            <w:pP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自动监测：24小时连续监测</w:t>
            </w:r>
          </w:p>
          <w:p>
            <w:pPr>
              <w:rPr>
                <w:vertAlign w:val="baseline"/>
              </w:rPr>
            </w:pPr>
            <w:r>
              <w:rPr>
                <w:rFonts w:hint="eastAsia" w:ascii="黑体" w:hAnsi="黑体" w:eastAsia="黑体" w:cs="黑体"/>
                <w:vertAlign w:val="baseline"/>
                <w:lang w:val="en-US" w:eastAsia="zh-CN"/>
              </w:rPr>
              <w:t>手工监测：每季度一次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464" w:type="dxa"/>
          </w:tcPr>
          <w:p>
            <w:pPr>
              <w:rPr>
                <w:rFonts w:hint="eastAsia" w:ascii="黑体" w:hAnsi="黑体" w:eastAsia="黑体" w:cs="黑体"/>
                <w:vertAlign w:val="baseline"/>
              </w:rPr>
            </w:pPr>
            <w:r>
              <w:rPr>
                <w:rFonts w:hint="eastAsia" w:ascii="黑体" w:hAnsi="黑体" w:eastAsia="黑体" w:cs="黑体"/>
                <w:vertAlign w:val="baseline"/>
              </w:rPr>
              <w:t>委托的第三方检测机构名称和资质</w:t>
            </w:r>
          </w:p>
        </w:tc>
        <w:tc>
          <w:tcPr>
            <w:tcW w:w="3348" w:type="dxa"/>
          </w:tcPr>
          <w:p>
            <w:pPr>
              <w:rPr>
                <w:rFonts w:hint="eastAsia" w:eastAsiaTheme="minorEastAsia"/>
                <w:vertAlign w:val="baseline"/>
                <w:lang w:eastAsia="zh-CN"/>
              </w:rPr>
            </w:pPr>
            <w:r>
              <w:rPr>
                <w:rFonts w:hint="eastAsia" w:ascii="黑体" w:hAnsi="黑体" w:eastAsia="黑体" w:cs="黑体"/>
                <w:vertAlign w:val="baseline"/>
                <w:lang w:val="en-US" w:eastAsia="zh-CN"/>
              </w:rPr>
              <w:t>新疆蓝卓越环保科技有限公司</w:t>
            </w:r>
          </w:p>
        </w:tc>
      </w:tr>
    </w:tbl>
    <w:p>
      <w:pPr>
        <w:ind w:firstLine="2811" w:firstLineChars="1000"/>
        <w:jc w:val="both"/>
        <w:rPr>
          <w:rFonts w:hint="eastAsia"/>
          <w:b/>
          <w:bCs/>
          <w:sz w:val="28"/>
          <w:szCs w:val="28"/>
          <w:lang w:val="en-US" w:eastAsia="zh-CN"/>
        </w:rPr>
      </w:pPr>
      <w:r>
        <w:rPr>
          <w:rFonts w:hint="eastAsia"/>
          <w:b/>
          <w:bCs/>
          <w:sz w:val="28"/>
          <w:szCs w:val="28"/>
          <w:lang w:val="en-US" w:eastAsia="zh-CN"/>
        </w:rPr>
        <w:t>扬尘污染情况(涉气企业)</w:t>
      </w:r>
    </w:p>
    <w:tbl>
      <w:tblPr>
        <w:tblStyle w:val="3"/>
        <w:tblW w:w="7815"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8"/>
        <w:gridCol w:w="3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tcPr>
          <w:p>
            <w:pPr>
              <w:jc w:val="left"/>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煤堆、煤渣、粉煤灰、飞灰堆放情况</w:t>
            </w:r>
          </w:p>
        </w:tc>
        <w:tc>
          <w:tcPr>
            <w:tcW w:w="3837" w:type="dxa"/>
          </w:tcPr>
          <w:p>
            <w:pPr>
              <w:jc w:val="left"/>
              <w:rPr>
                <w:rFonts w:hint="eastAsia" w:ascii="黑体" w:hAnsi="黑体" w:eastAsia="黑体" w:cs="黑体"/>
                <w:vertAlign w:val="baseline"/>
                <w:lang w:val="en-US" w:eastAsia="zh-CN"/>
              </w:rPr>
            </w:pPr>
            <w:r>
              <w:rPr>
                <w:rFonts w:hint="eastAsia" w:ascii="仿宋" w:hAnsi="仿宋" w:eastAsia="仿宋" w:cs="仿宋"/>
                <w:b w:val="0"/>
                <w:bCs w:val="0"/>
                <w:sz w:val="24"/>
                <w:szCs w:val="24"/>
                <w:vertAlign w:val="baseline"/>
                <w:lang w:val="en-US" w:eastAsia="zh-CN"/>
              </w:rPr>
              <w:t>煤、炉渣、粉煤灰、全部封闭管理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tcPr>
          <w:p>
            <w:pPr>
              <w:jc w:val="left"/>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装卸物料采取情况</w:t>
            </w:r>
          </w:p>
        </w:tc>
        <w:tc>
          <w:tcPr>
            <w:tcW w:w="3837" w:type="dxa"/>
            <w:vAlign w:val="top"/>
          </w:tcPr>
          <w:p>
            <w:pPr>
              <w:jc w:val="both"/>
              <w:rPr>
                <w:rFonts w:hint="eastAsia" w:ascii="黑体" w:hAnsi="黑体" w:eastAsia="黑体" w:cs="黑体"/>
                <w:vertAlign w:val="baseline"/>
                <w:lang w:val="en-US" w:eastAsia="zh-CN"/>
              </w:rPr>
            </w:pPr>
            <w:r>
              <w:rPr>
                <w:rFonts w:hint="eastAsia" w:ascii="仿宋" w:hAnsi="仿宋" w:eastAsia="仿宋" w:cs="仿宋"/>
                <w:b w:val="0"/>
                <w:bCs w:val="0"/>
                <w:sz w:val="24"/>
                <w:szCs w:val="24"/>
                <w:vertAlign w:val="baseline"/>
                <w:lang w:val="en-US" w:eastAsia="zh-CN"/>
              </w:rPr>
              <w:t>洒水抑尘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tcPr>
          <w:p>
            <w:pPr>
              <w:jc w:val="left"/>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防治扬尘污染的丰要措施</w:t>
            </w:r>
          </w:p>
        </w:tc>
        <w:tc>
          <w:tcPr>
            <w:tcW w:w="3837" w:type="dxa"/>
            <w:vAlign w:val="top"/>
          </w:tcPr>
          <w:p>
            <w:pPr>
              <w:jc w:val="both"/>
              <w:rPr>
                <w:rFonts w:hint="eastAsia" w:ascii="黑体" w:hAnsi="黑体" w:eastAsia="黑体" w:cs="黑体"/>
                <w:vertAlign w:val="baseline"/>
                <w:lang w:val="en-US" w:eastAsia="zh-CN"/>
              </w:rPr>
            </w:pPr>
            <w:r>
              <w:rPr>
                <w:rFonts w:hint="eastAsia" w:ascii="仿宋" w:hAnsi="仿宋" w:eastAsia="仿宋" w:cs="仿宋"/>
                <w:b w:val="0"/>
                <w:bCs w:val="0"/>
                <w:sz w:val="24"/>
                <w:szCs w:val="24"/>
                <w:vertAlign w:val="baseline"/>
                <w:lang w:val="en-US" w:eastAsia="zh-CN"/>
              </w:rPr>
              <w:t>洒水抑尘措施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tcPr>
          <w:p>
            <w:pPr>
              <w:jc w:val="left"/>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主要路面硬化情况(厂区内主干道)</w:t>
            </w:r>
          </w:p>
        </w:tc>
        <w:tc>
          <w:tcPr>
            <w:tcW w:w="3837" w:type="dxa"/>
            <w:vAlign w:val="top"/>
          </w:tcPr>
          <w:p>
            <w:pPr>
              <w:jc w:val="both"/>
              <w:rPr>
                <w:rFonts w:hint="eastAsia" w:ascii="黑体" w:hAnsi="黑体" w:eastAsia="黑体" w:cs="黑体"/>
                <w:vertAlign w:val="baseline"/>
                <w:lang w:val="en-US" w:eastAsia="zh-CN"/>
              </w:rPr>
            </w:pPr>
            <w:r>
              <w:rPr>
                <w:rFonts w:hint="eastAsia" w:ascii="仿宋" w:hAnsi="仿宋" w:eastAsia="仿宋" w:cs="仿宋"/>
                <w:b w:val="0"/>
                <w:bCs w:val="0"/>
                <w:sz w:val="24"/>
                <w:szCs w:val="24"/>
                <w:vertAlign w:val="baseline"/>
                <w:lang w:val="en-US" w:eastAsia="zh-CN"/>
              </w:rPr>
              <w:t>全部硬化</w:t>
            </w:r>
          </w:p>
        </w:tc>
      </w:tr>
    </w:tbl>
    <w:p>
      <w:pPr>
        <w:jc w:val="center"/>
        <w:rPr>
          <w:rFonts w:hint="eastAsia"/>
          <w:b/>
          <w:bCs/>
          <w:sz w:val="28"/>
          <w:szCs w:val="28"/>
          <w:lang w:val="en-US" w:eastAsia="zh-CN"/>
        </w:rPr>
      </w:pPr>
      <w:r>
        <w:rPr>
          <w:rFonts w:hint="eastAsia"/>
          <w:b/>
          <w:bCs/>
          <w:sz w:val="28"/>
          <w:szCs w:val="28"/>
          <w:lang w:val="en-US" w:eastAsia="zh-CN"/>
        </w:rPr>
        <w:t>噪声排放情况</w:t>
      </w:r>
    </w:p>
    <w:tbl>
      <w:tblPr>
        <w:tblStyle w:val="3"/>
        <w:tblW w:w="7829"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2"/>
        <w:gridCol w:w="1918"/>
        <w:gridCol w:w="1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92"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监测点位名称</w:t>
            </w:r>
          </w:p>
        </w:tc>
        <w:tc>
          <w:tcPr>
            <w:tcW w:w="3837" w:type="dxa"/>
            <w:gridSpan w:val="2"/>
            <w:vAlign w:val="top"/>
          </w:tcPr>
          <w:p>
            <w:pPr>
              <w:jc w:val="center"/>
              <w:rPr>
                <w:rFonts w:hint="eastAsia"/>
                <w:b/>
                <w:bCs/>
                <w:sz w:val="24"/>
                <w:szCs w:val="32"/>
                <w:vertAlign w:val="baseline"/>
                <w:lang w:val="en-US" w:eastAsia="zh-CN"/>
              </w:rPr>
            </w:pPr>
            <w:r>
              <w:rPr>
                <w:rFonts w:hint="eastAsia" w:ascii="仿宋" w:hAnsi="仿宋" w:eastAsia="仿宋" w:cs="仿宋"/>
                <w:b w:val="0"/>
                <w:bCs w:val="0"/>
                <w:sz w:val="24"/>
                <w:szCs w:val="24"/>
                <w:vertAlign w:val="baseline"/>
                <w:lang w:val="en-US" w:eastAsia="zh-CN"/>
              </w:rPr>
              <w:t>厂界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92" w:type="dxa"/>
            <w:vMerge w:val="restart"/>
            <w:vAlign w:val="top"/>
          </w:tcPr>
          <w:p>
            <w:pPr>
              <w:jc w:val="center"/>
              <w:rPr>
                <w:rFonts w:hint="eastAsia" w:ascii="宋体" w:hAnsi="宋体" w:eastAsia="宋体" w:cs="宋体"/>
                <w:b w:val="0"/>
                <w:bCs w:val="0"/>
                <w:sz w:val="21"/>
                <w:szCs w:val="21"/>
                <w:vertAlign w:val="baseline"/>
                <w:lang w:val="en-US" w:eastAsia="zh-CN"/>
              </w:rPr>
            </w:pPr>
          </w:p>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监测点位位置</w:t>
            </w:r>
          </w:p>
        </w:tc>
        <w:tc>
          <w:tcPr>
            <w:tcW w:w="3837" w:type="dxa"/>
            <w:gridSpan w:val="2"/>
            <w:vAlign w:val="top"/>
          </w:tcPr>
          <w:p>
            <w:pPr>
              <w:jc w:val="center"/>
              <w:rPr>
                <w:rFonts w:hint="eastAsia"/>
                <w:b/>
                <w:bCs/>
                <w:sz w:val="24"/>
                <w:szCs w:val="32"/>
                <w:vertAlign w:val="baseline"/>
                <w:lang w:val="en-US" w:eastAsia="zh-CN"/>
              </w:rPr>
            </w:pPr>
            <w:r>
              <w:rPr>
                <w:rFonts w:hint="eastAsia" w:ascii="仿宋" w:hAnsi="仿宋" w:eastAsia="仿宋" w:cs="仿宋"/>
                <w:b w:val="0"/>
                <w:bCs w:val="0"/>
                <w:sz w:val="24"/>
                <w:szCs w:val="24"/>
                <w:vertAlign w:val="baseline"/>
                <w:lang w:val="en-US" w:eastAsia="zh-CN"/>
              </w:rPr>
              <w:t>厂界东侧15m处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92" w:type="dxa"/>
            <w:vMerge w:val="continue"/>
            <w:vAlign w:val="top"/>
          </w:tcPr>
          <w:p>
            <w:pPr>
              <w:jc w:val="center"/>
              <w:rPr>
                <w:rFonts w:hint="eastAsia" w:ascii="宋体" w:hAnsi="宋体" w:eastAsia="宋体" w:cs="宋体"/>
                <w:b w:val="0"/>
                <w:bCs w:val="0"/>
                <w:sz w:val="21"/>
                <w:szCs w:val="21"/>
                <w:vertAlign w:val="baseline"/>
                <w:lang w:val="en-US" w:eastAsia="zh-CN"/>
              </w:rPr>
            </w:pPr>
          </w:p>
        </w:tc>
        <w:tc>
          <w:tcPr>
            <w:tcW w:w="3837" w:type="dxa"/>
            <w:gridSpan w:val="2"/>
            <w:vAlign w:val="top"/>
          </w:tcPr>
          <w:p>
            <w:pPr>
              <w:jc w:val="center"/>
              <w:rPr>
                <w:rFonts w:hint="eastAsia"/>
                <w:b/>
                <w:bCs/>
                <w:sz w:val="24"/>
                <w:szCs w:val="32"/>
                <w:vertAlign w:val="baseline"/>
                <w:lang w:val="en-US" w:eastAsia="zh-CN"/>
              </w:rPr>
            </w:pPr>
            <w:r>
              <w:rPr>
                <w:rFonts w:hint="eastAsia" w:ascii="仿宋" w:hAnsi="仿宋" w:eastAsia="仿宋" w:cs="仿宋"/>
                <w:b w:val="0"/>
                <w:bCs w:val="0"/>
                <w:sz w:val="24"/>
                <w:szCs w:val="24"/>
                <w:vertAlign w:val="baseline"/>
                <w:lang w:val="en-US" w:eastAsia="zh-CN"/>
              </w:rPr>
              <w:t>厂界西侧15m处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92" w:type="dxa"/>
            <w:vMerge w:val="continue"/>
            <w:vAlign w:val="top"/>
          </w:tcPr>
          <w:p>
            <w:pPr>
              <w:jc w:val="center"/>
              <w:rPr>
                <w:rFonts w:hint="eastAsia" w:ascii="宋体" w:hAnsi="宋体" w:eastAsia="宋体" w:cs="宋体"/>
                <w:b w:val="0"/>
                <w:bCs w:val="0"/>
                <w:sz w:val="21"/>
                <w:szCs w:val="21"/>
                <w:vertAlign w:val="baseline"/>
                <w:lang w:val="en-US" w:eastAsia="zh-CN"/>
              </w:rPr>
            </w:pPr>
          </w:p>
        </w:tc>
        <w:tc>
          <w:tcPr>
            <w:tcW w:w="3837" w:type="dxa"/>
            <w:gridSpan w:val="2"/>
            <w:vAlign w:val="top"/>
          </w:tcPr>
          <w:p>
            <w:pPr>
              <w:jc w:val="center"/>
              <w:rPr>
                <w:rFonts w:hint="eastAsia"/>
                <w:b/>
                <w:bCs/>
                <w:sz w:val="24"/>
                <w:szCs w:val="32"/>
                <w:vertAlign w:val="baseline"/>
                <w:lang w:val="en-US" w:eastAsia="zh-CN"/>
              </w:rPr>
            </w:pPr>
            <w:r>
              <w:rPr>
                <w:rFonts w:hint="eastAsia" w:ascii="仿宋" w:hAnsi="仿宋" w:eastAsia="仿宋" w:cs="仿宋"/>
                <w:b w:val="0"/>
                <w:bCs w:val="0"/>
                <w:sz w:val="24"/>
                <w:szCs w:val="24"/>
                <w:vertAlign w:val="baseline"/>
                <w:lang w:val="en-US" w:eastAsia="zh-CN"/>
              </w:rPr>
              <w:t>厂界南侧12m处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92" w:type="dxa"/>
            <w:vMerge w:val="continue"/>
            <w:vAlign w:val="top"/>
          </w:tcPr>
          <w:p>
            <w:pPr>
              <w:jc w:val="center"/>
              <w:rPr>
                <w:rFonts w:hint="eastAsia" w:ascii="宋体" w:hAnsi="宋体" w:eastAsia="宋体" w:cs="宋体"/>
                <w:b w:val="0"/>
                <w:bCs w:val="0"/>
                <w:sz w:val="21"/>
                <w:szCs w:val="21"/>
                <w:vertAlign w:val="baseline"/>
                <w:lang w:val="en-US" w:eastAsia="zh-CN"/>
              </w:rPr>
            </w:pPr>
          </w:p>
        </w:tc>
        <w:tc>
          <w:tcPr>
            <w:tcW w:w="3837" w:type="dxa"/>
            <w:gridSpan w:val="2"/>
            <w:vAlign w:val="top"/>
          </w:tcPr>
          <w:p>
            <w:pPr>
              <w:jc w:val="center"/>
              <w:rPr>
                <w:rFonts w:hint="eastAsia"/>
                <w:b/>
                <w:bCs/>
                <w:sz w:val="24"/>
                <w:szCs w:val="32"/>
                <w:vertAlign w:val="baseline"/>
                <w:lang w:val="en-US" w:eastAsia="zh-CN"/>
              </w:rPr>
            </w:pPr>
            <w:r>
              <w:rPr>
                <w:rFonts w:hint="eastAsia" w:ascii="仿宋" w:hAnsi="仿宋" w:eastAsia="仿宋" w:cs="仿宋"/>
                <w:b w:val="0"/>
                <w:bCs w:val="0"/>
                <w:sz w:val="24"/>
                <w:szCs w:val="24"/>
                <w:vertAlign w:val="baseline"/>
                <w:lang w:val="en-US" w:eastAsia="zh-CN"/>
              </w:rPr>
              <w:t>厂界南侧14m处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92"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执行标准</w:t>
            </w:r>
          </w:p>
        </w:tc>
        <w:tc>
          <w:tcPr>
            <w:tcW w:w="3837" w:type="dxa"/>
            <w:gridSpan w:val="2"/>
            <w:vAlign w:val="top"/>
          </w:tcPr>
          <w:p>
            <w:pPr>
              <w:jc w:val="both"/>
              <w:rPr>
                <w:rFonts w:hint="eastAsia"/>
                <w:b/>
                <w:bCs/>
                <w:sz w:val="24"/>
                <w:szCs w:val="32"/>
                <w:vertAlign w:val="baseline"/>
                <w:lang w:val="en-US" w:eastAsia="zh-CN"/>
              </w:rPr>
            </w:pPr>
            <w:r>
              <w:rPr>
                <w:rFonts w:hint="eastAsia" w:ascii="仿宋" w:hAnsi="仿宋" w:eastAsia="仿宋" w:cs="仿宋"/>
                <w:b w:val="0"/>
                <w:bCs w:val="0"/>
                <w:sz w:val="24"/>
                <w:szCs w:val="24"/>
                <w:vertAlign w:val="baseline"/>
                <w:lang w:val="en-US" w:eastAsia="zh-CN"/>
              </w:rPr>
              <w:t>《工业企业厂界环境噪声排放标准》GB12348-2008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92"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排放限值</w:t>
            </w:r>
          </w:p>
        </w:tc>
        <w:tc>
          <w:tcPr>
            <w:tcW w:w="1918" w:type="dxa"/>
            <w:vAlign w:val="top"/>
          </w:tcPr>
          <w:p>
            <w:pPr>
              <w:ind w:firstLine="240" w:firstLineChars="100"/>
              <w:jc w:val="both"/>
              <w:rPr>
                <w:rFonts w:hint="eastAsia" w:ascii="黑体" w:hAnsi="黑体" w:eastAsia="黑体" w:cs="黑体"/>
                <w:b w:val="0"/>
                <w:bCs w:val="0"/>
                <w:sz w:val="21"/>
                <w:szCs w:val="21"/>
                <w:vertAlign w:val="baseline"/>
                <w:lang w:val="en-US" w:eastAsia="zh-CN"/>
              </w:rPr>
            </w:pPr>
            <w:r>
              <w:rPr>
                <w:rFonts w:hint="eastAsia" w:ascii="仿宋" w:hAnsi="仿宋" w:eastAsia="仿宋" w:cs="仿宋"/>
                <w:b w:val="0"/>
                <w:bCs w:val="0"/>
                <w:sz w:val="24"/>
                <w:szCs w:val="24"/>
                <w:vertAlign w:val="baseline"/>
                <w:lang w:val="en-US" w:eastAsia="zh-CN"/>
              </w:rPr>
              <w:t xml:space="preserve">昼间:65dB  </w:t>
            </w:r>
          </w:p>
        </w:tc>
        <w:tc>
          <w:tcPr>
            <w:tcW w:w="1919" w:type="dxa"/>
            <w:vAlign w:val="top"/>
          </w:tcPr>
          <w:p>
            <w:pPr>
              <w:ind w:firstLine="240" w:firstLineChars="100"/>
              <w:jc w:val="both"/>
              <w:rPr>
                <w:rFonts w:hint="eastAsia" w:ascii="黑体" w:hAnsi="黑体" w:eastAsia="黑体" w:cs="黑体"/>
                <w:b w:val="0"/>
                <w:bCs w:val="0"/>
                <w:sz w:val="21"/>
                <w:szCs w:val="21"/>
                <w:vertAlign w:val="baseline"/>
                <w:lang w:val="en-US" w:eastAsia="zh-CN"/>
              </w:rPr>
            </w:pPr>
            <w:r>
              <w:rPr>
                <w:rFonts w:hint="eastAsia" w:ascii="仿宋" w:hAnsi="仿宋" w:eastAsia="仿宋" w:cs="仿宋"/>
                <w:b w:val="0"/>
                <w:bCs w:val="0"/>
                <w:sz w:val="24"/>
                <w:szCs w:val="24"/>
                <w:vertAlign w:val="baseline"/>
                <w:lang w:val="en-US" w:eastAsia="zh-CN"/>
              </w:rPr>
              <w:t>夜间:55dB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2" w:type="dxa"/>
            <w:vMerge w:val="restart"/>
            <w:vAlign w:val="top"/>
          </w:tcPr>
          <w:p>
            <w:pPr>
              <w:jc w:val="center"/>
              <w:rPr>
                <w:rFonts w:hint="eastAsia" w:ascii="宋体" w:hAnsi="宋体" w:eastAsia="宋体" w:cs="宋体"/>
                <w:b/>
                <w:bCs/>
                <w:sz w:val="24"/>
                <w:szCs w:val="32"/>
                <w:vertAlign w:val="baseline"/>
                <w:lang w:val="en-US" w:eastAsia="zh-CN"/>
              </w:rPr>
            </w:pPr>
          </w:p>
          <w:p>
            <w:pPr>
              <w:bidi w:val="0"/>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实际排放值</w:t>
            </w:r>
          </w:p>
        </w:tc>
        <w:tc>
          <w:tcPr>
            <w:tcW w:w="1918" w:type="dxa"/>
            <w:vAlign w:val="top"/>
          </w:tcPr>
          <w:p>
            <w:pPr>
              <w:bidi w:val="0"/>
              <w:jc w:val="left"/>
              <w:rPr>
                <w:rFonts w:hint="default"/>
                <w:b/>
                <w:bCs/>
                <w:sz w:val="24"/>
                <w:szCs w:val="32"/>
                <w:vertAlign w:val="baseline"/>
                <w:lang w:val="en-US" w:eastAsia="zh-CN"/>
              </w:rPr>
            </w:pPr>
            <w:r>
              <w:rPr>
                <w:rFonts w:hint="eastAsia" w:ascii="仿宋" w:hAnsi="仿宋" w:eastAsia="仿宋" w:cs="仿宋"/>
                <w:color w:val="auto"/>
                <w:kern w:val="2"/>
                <w:sz w:val="24"/>
                <w:szCs w:val="24"/>
                <w:lang w:val="en-US" w:eastAsia="zh-CN" w:bidi="ar-SA"/>
              </w:rPr>
              <w:t>#1昼间：51</w:t>
            </w:r>
          </w:p>
        </w:tc>
        <w:tc>
          <w:tcPr>
            <w:tcW w:w="1919" w:type="dxa"/>
            <w:vAlign w:val="top"/>
          </w:tcPr>
          <w:p>
            <w:pPr>
              <w:bidi w:val="0"/>
              <w:jc w:val="left"/>
              <w:rPr>
                <w:rFonts w:hint="default"/>
                <w:b/>
                <w:bCs/>
                <w:sz w:val="24"/>
                <w:szCs w:val="32"/>
                <w:vertAlign w:val="baseline"/>
                <w:lang w:val="en-US" w:eastAsia="zh-CN"/>
              </w:rPr>
            </w:pPr>
            <w:r>
              <w:rPr>
                <w:rFonts w:hint="eastAsia" w:ascii="仿宋" w:hAnsi="仿宋" w:eastAsia="仿宋" w:cs="仿宋"/>
                <w:color w:val="auto"/>
                <w:kern w:val="2"/>
                <w:sz w:val="24"/>
                <w:szCs w:val="24"/>
                <w:lang w:val="en-US" w:eastAsia="zh-CN" w:bidi="ar-SA"/>
              </w:rPr>
              <w:t>#1夜间：48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92" w:type="dxa"/>
            <w:vMerge w:val="continue"/>
            <w:vAlign w:val="top"/>
          </w:tcPr>
          <w:p>
            <w:pPr>
              <w:jc w:val="both"/>
              <w:rPr>
                <w:rFonts w:hint="eastAsia"/>
                <w:b/>
                <w:bCs/>
                <w:sz w:val="24"/>
                <w:szCs w:val="32"/>
                <w:vertAlign w:val="baseline"/>
                <w:lang w:val="en-US" w:eastAsia="zh-CN"/>
              </w:rPr>
            </w:pPr>
          </w:p>
        </w:tc>
        <w:tc>
          <w:tcPr>
            <w:tcW w:w="1918" w:type="dxa"/>
            <w:vAlign w:val="top"/>
          </w:tcPr>
          <w:p>
            <w:pPr>
              <w:bidi w:val="0"/>
              <w:jc w:val="left"/>
              <w:rPr>
                <w:rFonts w:hint="default"/>
                <w:b/>
                <w:bCs/>
                <w:sz w:val="24"/>
                <w:szCs w:val="32"/>
                <w:vertAlign w:val="baseline"/>
                <w:lang w:val="en-US" w:eastAsia="zh-CN"/>
              </w:rPr>
            </w:pPr>
            <w:r>
              <w:rPr>
                <w:rFonts w:hint="eastAsia" w:ascii="仿宋" w:hAnsi="仿宋" w:eastAsia="仿宋" w:cs="仿宋"/>
                <w:color w:val="auto"/>
                <w:kern w:val="2"/>
                <w:sz w:val="24"/>
                <w:szCs w:val="24"/>
                <w:lang w:val="en-US" w:eastAsia="zh-CN" w:bidi="ar-SA"/>
              </w:rPr>
              <w:t>#2昼间：52</w:t>
            </w:r>
          </w:p>
        </w:tc>
        <w:tc>
          <w:tcPr>
            <w:tcW w:w="1919" w:type="dxa"/>
            <w:vAlign w:val="top"/>
          </w:tcPr>
          <w:p>
            <w:pPr>
              <w:bidi w:val="0"/>
              <w:jc w:val="left"/>
              <w:rPr>
                <w:rFonts w:hint="default"/>
                <w:b/>
                <w:bCs/>
                <w:sz w:val="24"/>
                <w:szCs w:val="32"/>
                <w:vertAlign w:val="baseline"/>
                <w:lang w:val="en-US" w:eastAsia="zh-CN"/>
              </w:rPr>
            </w:pPr>
            <w:r>
              <w:rPr>
                <w:rFonts w:hint="eastAsia" w:ascii="仿宋" w:hAnsi="仿宋" w:eastAsia="仿宋" w:cs="仿宋"/>
                <w:color w:val="auto"/>
                <w:kern w:val="2"/>
                <w:sz w:val="24"/>
                <w:szCs w:val="24"/>
                <w:lang w:val="en-US" w:eastAsia="zh-CN" w:bidi="ar-SA"/>
              </w:rPr>
              <w:t>#2夜间：49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92" w:type="dxa"/>
            <w:vMerge w:val="continue"/>
            <w:vAlign w:val="top"/>
          </w:tcPr>
          <w:p>
            <w:pPr>
              <w:jc w:val="both"/>
              <w:rPr>
                <w:rFonts w:hint="eastAsia"/>
                <w:b/>
                <w:bCs/>
                <w:sz w:val="24"/>
                <w:szCs w:val="32"/>
                <w:vertAlign w:val="baseline"/>
                <w:lang w:val="en-US" w:eastAsia="zh-CN"/>
              </w:rPr>
            </w:pPr>
          </w:p>
        </w:tc>
        <w:tc>
          <w:tcPr>
            <w:tcW w:w="1918" w:type="dxa"/>
            <w:vAlign w:val="top"/>
          </w:tcPr>
          <w:p>
            <w:pPr>
              <w:bidi w:val="0"/>
              <w:jc w:val="left"/>
              <w:rPr>
                <w:rFonts w:hint="default"/>
                <w:b/>
                <w:bCs/>
                <w:sz w:val="24"/>
                <w:szCs w:val="32"/>
                <w:vertAlign w:val="baseline"/>
                <w:lang w:val="en-US" w:eastAsia="zh-CN"/>
              </w:rPr>
            </w:pPr>
            <w:r>
              <w:rPr>
                <w:rFonts w:hint="eastAsia" w:ascii="仿宋" w:hAnsi="仿宋" w:eastAsia="仿宋" w:cs="仿宋"/>
                <w:color w:val="auto"/>
                <w:kern w:val="2"/>
                <w:sz w:val="24"/>
                <w:szCs w:val="24"/>
                <w:lang w:val="en-US" w:eastAsia="zh-CN" w:bidi="ar-SA"/>
              </w:rPr>
              <w:t>#3昼间：52</w:t>
            </w:r>
          </w:p>
        </w:tc>
        <w:tc>
          <w:tcPr>
            <w:tcW w:w="1919" w:type="dxa"/>
            <w:vAlign w:val="top"/>
          </w:tcPr>
          <w:p>
            <w:pPr>
              <w:bidi w:val="0"/>
              <w:jc w:val="left"/>
              <w:rPr>
                <w:rFonts w:hint="default"/>
                <w:b/>
                <w:bCs/>
                <w:sz w:val="24"/>
                <w:szCs w:val="32"/>
                <w:vertAlign w:val="baseline"/>
                <w:lang w:val="en-US" w:eastAsia="zh-CN"/>
              </w:rPr>
            </w:pPr>
            <w:r>
              <w:rPr>
                <w:rFonts w:hint="eastAsia" w:ascii="仿宋" w:hAnsi="仿宋" w:eastAsia="仿宋" w:cs="仿宋"/>
                <w:color w:val="auto"/>
                <w:kern w:val="2"/>
                <w:sz w:val="24"/>
                <w:szCs w:val="24"/>
                <w:lang w:val="en-US" w:eastAsia="zh-CN" w:bidi="ar-SA"/>
              </w:rPr>
              <w:t>#3夜间：48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92" w:type="dxa"/>
            <w:vMerge w:val="continue"/>
            <w:vAlign w:val="top"/>
          </w:tcPr>
          <w:p>
            <w:pPr>
              <w:jc w:val="both"/>
              <w:rPr>
                <w:rFonts w:hint="eastAsia"/>
                <w:b/>
                <w:bCs/>
                <w:sz w:val="24"/>
                <w:szCs w:val="32"/>
                <w:vertAlign w:val="baseline"/>
                <w:lang w:val="en-US" w:eastAsia="zh-CN"/>
              </w:rPr>
            </w:pPr>
          </w:p>
        </w:tc>
        <w:tc>
          <w:tcPr>
            <w:tcW w:w="1918" w:type="dxa"/>
            <w:vAlign w:val="top"/>
          </w:tcPr>
          <w:p>
            <w:pPr>
              <w:bidi w:val="0"/>
              <w:jc w:val="left"/>
              <w:rPr>
                <w:rFonts w:hint="default"/>
                <w:b/>
                <w:bCs/>
                <w:sz w:val="24"/>
                <w:szCs w:val="32"/>
                <w:vertAlign w:val="baseline"/>
                <w:lang w:val="en-US" w:eastAsia="zh-CN"/>
              </w:rPr>
            </w:pPr>
            <w:r>
              <w:rPr>
                <w:rFonts w:hint="eastAsia" w:ascii="仿宋" w:hAnsi="仿宋" w:eastAsia="仿宋" w:cs="仿宋"/>
                <w:color w:val="auto"/>
                <w:kern w:val="2"/>
                <w:sz w:val="24"/>
                <w:szCs w:val="24"/>
                <w:lang w:val="en-US" w:eastAsia="zh-CN" w:bidi="ar-SA"/>
              </w:rPr>
              <w:t>#4昼间：51</w:t>
            </w:r>
          </w:p>
        </w:tc>
        <w:tc>
          <w:tcPr>
            <w:tcW w:w="1919" w:type="dxa"/>
            <w:vAlign w:val="top"/>
          </w:tcPr>
          <w:p>
            <w:pPr>
              <w:bidi w:val="0"/>
              <w:jc w:val="left"/>
              <w:rPr>
                <w:rFonts w:hint="default"/>
                <w:b/>
                <w:bCs/>
                <w:sz w:val="24"/>
                <w:szCs w:val="32"/>
                <w:vertAlign w:val="baseline"/>
                <w:lang w:val="en-US" w:eastAsia="zh-CN"/>
              </w:rPr>
            </w:pPr>
            <w:r>
              <w:rPr>
                <w:rFonts w:hint="eastAsia" w:ascii="仿宋" w:hAnsi="仿宋" w:eastAsia="仿宋" w:cs="仿宋"/>
                <w:color w:val="auto"/>
                <w:kern w:val="2"/>
                <w:sz w:val="24"/>
                <w:szCs w:val="24"/>
                <w:lang w:val="en-US" w:eastAsia="zh-CN" w:bidi="ar-SA"/>
              </w:rPr>
              <w:t>#4夜间：48</w:t>
            </w:r>
          </w:p>
        </w:tc>
      </w:tr>
    </w:tbl>
    <w:p>
      <w:pPr>
        <w:jc w:val="both"/>
        <w:rPr>
          <w:rFonts w:hint="eastAsia"/>
          <w:b/>
          <w:bCs/>
          <w:sz w:val="24"/>
          <w:szCs w:val="32"/>
          <w:lang w:val="en-US" w:eastAsia="zh-CN"/>
        </w:rPr>
      </w:pPr>
    </w:p>
    <w:p>
      <w:pPr>
        <w:jc w:val="center"/>
        <w:rPr>
          <w:rFonts w:hint="eastAsia"/>
          <w:b/>
          <w:bCs/>
          <w:sz w:val="28"/>
          <w:szCs w:val="28"/>
          <w:lang w:val="en-US" w:eastAsia="zh-CN"/>
        </w:rPr>
      </w:pPr>
      <w:r>
        <w:rPr>
          <w:rFonts w:hint="eastAsia"/>
          <w:b/>
          <w:bCs/>
          <w:sz w:val="28"/>
          <w:szCs w:val="28"/>
          <w:lang w:val="en-US" w:eastAsia="zh-CN"/>
        </w:rPr>
        <w:t>工业固体废物的产生、贮存、流向和利用处置信息</w:t>
      </w:r>
    </w:p>
    <w:tbl>
      <w:tblPr>
        <w:tblStyle w:val="3"/>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8" w:type="dxa"/>
            <w:gridSpan w:val="2"/>
          </w:tcPr>
          <w:p>
            <w:pPr>
              <w:jc w:val="center"/>
              <w:rPr>
                <w:rFonts w:hint="eastAsia"/>
                <w:b/>
                <w:bCs/>
                <w:sz w:val="24"/>
                <w:szCs w:val="32"/>
                <w:vertAlign w:val="baseline"/>
                <w:lang w:val="en-US" w:eastAsia="zh-CN"/>
              </w:rPr>
            </w:pPr>
            <w:r>
              <w:rPr>
                <w:rFonts w:hint="eastAsia" w:ascii="黑体" w:hAnsi="黑体" w:eastAsia="黑体" w:cs="黑体"/>
                <w:b/>
                <w:bCs/>
                <w:sz w:val="24"/>
                <w:szCs w:val="32"/>
                <w:vertAlign w:val="baseline"/>
                <w:lang w:val="en-US" w:eastAsia="zh-CN"/>
              </w:rPr>
              <w:t>一般工业固体废物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名称</w:t>
            </w:r>
          </w:p>
        </w:tc>
        <w:tc>
          <w:tcPr>
            <w:tcW w:w="4357" w:type="dxa"/>
            <w:vAlign w:val="top"/>
          </w:tcPr>
          <w:p>
            <w:pPr>
              <w:bidi w:val="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粉煤灰、炉渣、石膏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种类</w:t>
            </w:r>
          </w:p>
        </w:tc>
        <w:tc>
          <w:tcPr>
            <w:tcW w:w="4357" w:type="dxa"/>
            <w:vAlign w:val="top"/>
          </w:tcPr>
          <w:p>
            <w:pPr>
              <w:ind w:firstLine="960" w:firstLineChars="400"/>
              <w:jc w:val="both"/>
              <w:rPr>
                <w:rFonts w:hint="eastAsia" w:asciiTheme="minorHAnsi" w:hAnsiTheme="minorHAnsi" w:eastAsiaTheme="minorEastAsia" w:cstheme="minorBidi"/>
                <w:b/>
                <w:bCs/>
                <w:kern w:val="2"/>
                <w:sz w:val="24"/>
                <w:szCs w:val="32"/>
                <w:vertAlign w:val="baseline"/>
                <w:lang w:val="en-US" w:eastAsia="zh-CN" w:bidi="ar-SA"/>
              </w:rPr>
            </w:pPr>
            <w:r>
              <w:rPr>
                <w:rFonts w:hint="eastAsia" w:ascii="仿宋" w:hAnsi="仿宋" w:eastAsia="仿宋" w:cs="仿宋"/>
                <w:kern w:val="2"/>
                <w:sz w:val="24"/>
                <w:szCs w:val="24"/>
                <w:lang w:val="en-US" w:eastAsia="zh-CN" w:bidi="ar-SA"/>
              </w:rPr>
              <w:t>粉煤灰、炉渣、石膏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成分</w:t>
            </w:r>
          </w:p>
        </w:tc>
        <w:tc>
          <w:tcPr>
            <w:tcW w:w="4357" w:type="dxa"/>
            <w:vAlign w:val="top"/>
          </w:tcPr>
          <w:p>
            <w:pPr>
              <w:jc w:val="center"/>
              <w:rPr>
                <w:rFonts w:hint="eastAsia" w:asciiTheme="minorHAnsi" w:hAnsiTheme="minorHAnsi" w:eastAsiaTheme="minorEastAsia" w:cstheme="minorBidi"/>
                <w:b/>
                <w:bCs/>
                <w:kern w:val="2"/>
                <w:sz w:val="24"/>
                <w:szCs w:val="32"/>
                <w:vertAlign w:val="baseline"/>
                <w:lang w:val="en-US" w:eastAsia="zh-CN" w:bidi="ar-SA"/>
              </w:rPr>
            </w:pPr>
            <w:r>
              <w:rPr>
                <w:rFonts w:hint="eastAsia" w:ascii="仿宋" w:hAnsi="仿宋" w:eastAsia="仿宋" w:cs="仿宋"/>
                <w:kern w:val="2"/>
                <w:sz w:val="24"/>
                <w:szCs w:val="24"/>
                <w:lang w:val="en-US" w:eastAsia="zh-CN" w:bidi="ar-SA"/>
              </w:rPr>
              <w:t>二氧化硅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等级(一类或二类一般工业固体废物）</w:t>
            </w:r>
          </w:p>
        </w:tc>
        <w:tc>
          <w:tcPr>
            <w:tcW w:w="4357" w:type="dxa"/>
            <w:vAlign w:val="top"/>
          </w:tcPr>
          <w:p>
            <w:pPr>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每日产生量</w:t>
            </w:r>
          </w:p>
        </w:tc>
        <w:tc>
          <w:tcPr>
            <w:tcW w:w="4357" w:type="dxa"/>
          </w:tcPr>
          <w:p>
            <w:pPr>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每日贮存量</w:t>
            </w:r>
          </w:p>
        </w:tc>
        <w:tc>
          <w:tcPr>
            <w:tcW w:w="4357" w:type="dxa"/>
          </w:tcPr>
          <w:p>
            <w:pPr>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累计贮存量</w:t>
            </w:r>
          </w:p>
        </w:tc>
        <w:tc>
          <w:tcPr>
            <w:tcW w:w="4357" w:type="dxa"/>
          </w:tcPr>
          <w:p>
            <w:pPr>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利用处置方式</w:t>
            </w:r>
          </w:p>
        </w:tc>
        <w:tc>
          <w:tcPr>
            <w:tcW w:w="4357" w:type="dxa"/>
          </w:tcPr>
          <w:p>
            <w:pPr>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委托第三处置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利用处置量</w:t>
            </w:r>
          </w:p>
        </w:tc>
        <w:tc>
          <w:tcPr>
            <w:tcW w:w="4357" w:type="dxa"/>
          </w:tcPr>
          <w:p>
            <w:pPr>
              <w:jc w:val="center"/>
              <w:rPr>
                <w:rFonts w:hint="eastAsia"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贮存、处置场所名称</w:t>
            </w:r>
          </w:p>
        </w:tc>
        <w:tc>
          <w:tcPr>
            <w:tcW w:w="4357" w:type="dxa"/>
          </w:tcPr>
          <w:p>
            <w:pPr>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新疆龙鑫环境科技有限公司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设施的类型(一类或二类)</w:t>
            </w:r>
          </w:p>
        </w:tc>
        <w:tc>
          <w:tcPr>
            <w:tcW w:w="4357" w:type="dxa"/>
          </w:tcPr>
          <w:p>
            <w:pPr>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贮存、处置场所面积</w:t>
            </w:r>
          </w:p>
        </w:tc>
        <w:tc>
          <w:tcPr>
            <w:tcW w:w="4357" w:type="dxa"/>
          </w:tcPr>
          <w:p>
            <w:pPr>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贮存、处置场所经纬度坐标</w:t>
            </w:r>
          </w:p>
        </w:tc>
        <w:tc>
          <w:tcPr>
            <w:tcW w:w="4357" w:type="dxa"/>
          </w:tcPr>
          <w:p>
            <w:pPr>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受托方名称</w:t>
            </w:r>
          </w:p>
        </w:tc>
        <w:tc>
          <w:tcPr>
            <w:tcW w:w="4357" w:type="dxa"/>
          </w:tcPr>
          <w:p>
            <w:pPr>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新疆龙鑫环境科技有限公司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一般工业固体废物运输、利用、处置情况</w:t>
            </w:r>
          </w:p>
        </w:tc>
        <w:tc>
          <w:tcPr>
            <w:tcW w:w="435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2022年1月-11月：粉煤灰产生量251136.24，炉渣产生：38443.7，脱硫石膏产生量：79948.19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8" w:type="dxa"/>
            <w:gridSpan w:val="2"/>
          </w:tcPr>
          <w:p>
            <w:pPr>
              <w:jc w:val="center"/>
              <w:rPr>
                <w:rFonts w:hint="eastAsia"/>
                <w:b/>
                <w:bCs/>
                <w:sz w:val="24"/>
                <w:szCs w:val="32"/>
                <w:vertAlign w:val="baseline"/>
                <w:lang w:val="en-US" w:eastAsia="zh-CN"/>
              </w:rPr>
            </w:pPr>
            <w:r>
              <w:rPr>
                <w:rFonts w:hint="eastAsia" w:ascii="黑体" w:hAnsi="黑体" w:eastAsia="黑体" w:cs="黑体"/>
                <w:b/>
                <w:bCs/>
                <w:sz w:val="24"/>
                <w:szCs w:val="32"/>
                <w:vertAlign w:val="baseline"/>
                <w:lang w:val="en-US" w:eastAsia="zh-CN"/>
              </w:rPr>
              <w:t>危险废物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名称</w:t>
            </w:r>
          </w:p>
        </w:tc>
        <w:tc>
          <w:tcPr>
            <w:tcW w:w="4357" w:type="dxa"/>
            <w:vAlign w:val="top"/>
          </w:tcPr>
          <w:p>
            <w:pPr>
              <w:jc w:val="center"/>
              <w:rPr>
                <w:rFonts w:hint="eastAsia" w:ascii="宋体" w:hAnsi="宋体" w:eastAsia="宋体" w:cs="宋体"/>
                <w:b/>
                <w:bCs/>
                <w:kern w:val="2"/>
                <w:sz w:val="24"/>
                <w:szCs w:val="32"/>
                <w:vertAlign w:val="baseline"/>
                <w:lang w:val="en-US" w:eastAsia="zh-CN" w:bidi="ar-SA"/>
              </w:rPr>
            </w:pPr>
            <w:r>
              <w:rPr>
                <w:rFonts w:hint="eastAsia" w:ascii="仿宋" w:hAnsi="仿宋" w:eastAsia="仿宋" w:cs="仿宋"/>
                <w:b w:val="0"/>
                <w:bCs w:val="0"/>
                <w:sz w:val="24"/>
                <w:szCs w:val="24"/>
                <w:vertAlign w:val="baseline"/>
                <w:lang w:val="en-US" w:eastAsia="zh-CN"/>
              </w:rPr>
              <w:t>废机油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废物代码</w:t>
            </w:r>
          </w:p>
        </w:tc>
        <w:tc>
          <w:tcPr>
            <w:tcW w:w="4357" w:type="dxa"/>
            <w:vAlign w:val="top"/>
          </w:tcPr>
          <w:p>
            <w:pPr>
              <w:jc w:val="center"/>
              <w:rPr>
                <w:rFonts w:hint="eastAsia" w:ascii="宋体" w:hAnsi="宋体" w:eastAsia="宋体" w:cs="宋体"/>
                <w:b/>
                <w:bCs/>
                <w:kern w:val="2"/>
                <w:sz w:val="24"/>
                <w:szCs w:val="32"/>
                <w:vertAlign w:val="baseline"/>
                <w:lang w:val="en-US" w:eastAsia="zh-CN" w:bidi="ar-SA"/>
              </w:rPr>
            </w:pPr>
            <w:r>
              <w:rPr>
                <w:rFonts w:hint="eastAsia" w:ascii="仿宋" w:hAnsi="仿宋" w:eastAsia="仿宋" w:cs="仿宋"/>
                <w:b w:val="0"/>
                <w:bCs w:val="0"/>
                <w:sz w:val="24"/>
                <w:szCs w:val="24"/>
                <w:vertAlign w:val="baseline"/>
                <w:lang w:val="en-US" w:eastAsia="zh-CN"/>
              </w:rPr>
              <w:t>900-217-08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主要有害成分</w:t>
            </w:r>
          </w:p>
        </w:tc>
        <w:tc>
          <w:tcPr>
            <w:tcW w:w="4357" w:type="dxa"/>
            <w:vAlign w:val="top"/>
          </w:tcPr>
          <w:p>
            <w:pPr>
              <w:jc w:val="center"/>
              <w:rPr>
                <w:rFonts w:hint="eastAsia" w:ascii="宋体" w:hAnsi="宋体" w:eastAsia="宋体" w:cs="宋体"/>
                <w:b/>
                <w:bCs/>
                <w:kern w:val="2"/>
                <w:sz w:val="24"/>
                <w:szCs w:val="32"/>
                <w:vertAlign w:val="baseline"/>
                <w:lang w:val="en-US" w:eastAsia="zh-CN" w:bidi="ar-SA"/>
              </w:rPr>
            </w:pPr>
            <w:r>
              <w:rPr>
                <w:rFonts w:hint="eastAsia" w:ascii="仿宋" w:hAnsi="仿宋" w:eastAsia="仿宋" w:cs="仿宋"/>
                <w:b w:val="0"/>
                <w:bCs w:val="0"/>
                <w:sz w:val="24"/>
                <w:szCs w:val="24"/>
                <w:vertAlign w:val="baseline"/>
                <w:lang w:val="en-US" w:eastAsia="zh-CN"/>
              </w:rPr>
              <w:t>多环芳烃、苯系物、重金属等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危险特性</w:t>
            </w:r>
          </w:p>
        </w:tc>
        <w:tc>
          <w:tcPr>
            <w:tcW w:w="4357" w:type="dxa"/>
            <w:vAlign w:val="top"/>
          </w:tcPr>
          <w:p>
            <w:pPr>
              <w:jc w:val="center"/>
              <w:rPr>
                <w:rFonts w:hint="eastAsia" w:ascii="宋体" w:hAnsi="宋体" w:eastAsia="宋体" w:cs="宋体"/>
                <w:b/>
                <w:bCs/>
                <w:kern w:val="2"/>
                <w:sz w:val="24"/>
                <w:szCs w:val="32"/>
                <w:vertAlign w:val="baseline"/>
                <w:lang w:val="en-US" w:eastAsia="zh-CN" w:bidi="ar-SA"/>
              </w:rPr>
            </w:pPr>
            <w:r>
              <w:rPr>
                <w:rFonts w:hint="eastAsia" w:ascii="仿宋" w:hAnsi="仿宋" w:eastAsia="仿宋" w:cs="仿宋"/>
                <w:b w:val="0"/>
                <w:bCs w:val="0"/>
                <w:sz w:val="24"/>
                <w:szCs w:val="24"/>
                <w:vertAlign w:val="baseline"/>
                <w:lang w:val="en-US" w:eastAsia="zh-CN"/>
              </w:rPr>
              <w:t>易燃、毒性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累计贮存量</w:t>
            </w:r>
          </w:p>
        </w:tc>
        <w:tc>
          <w:tcPr>
            <w:tcW w:w="4357" w:type="dxa"/>
            <w:vAlign w:val="top"/>
          </w:tcPr>
          <w:p>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利用处置方式</w:t>
            </w:r>
          </w:p>
        </w:tc>
        <w:tc>
          <w:tcPr>
            <w:tcW w:w="4357" w:type="dxa"/>
            <w:vAlign w:val="top"/>
          </w:tcPr>
          <w:p>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利用处置量</w:t>
            </w:r>
          </w:p>
        </w:tc>
        <w:tc>
          <w:tcPr>
            <w:tcW w:w="4357" w:type="dxa"/>
            <w:vAlign w:val="top"/>
          </w:tcPr>
          <w:p>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贮存、处置场所名称</w:t>
            </w:r>
          </w:p>
        </w:tc>
        <w:tc>
          <w:tcPr>
            <w:tcW w:w="4357" w:type="dxa"/>
            <w:vAlign w:val="top"/>
          </w:tcPr>
          <w:p>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危险废物暂存库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设施的类型(一类或二类)</w:t>
            </w:r>
          </w:p>
        </w:tc>
        <w:tc>
          <w:tcPr>
            <w:tcW w:w="4357" w:type="dxa"/>
            <w:vAlign w:val="top"/>
          </w:tcPr>
          <w:p>
            <w:pPr>
              <w:jc w:val="center"/>
              <w:rPr>
                <w:rFonts w:hint="eastAsia" w:ascii="宋体" w:hAnsi="宋体" w:eastAsia="宋体" w:cs="宋体"/>
                <w:b/>
                <w:bCs/>
                <w:kern w:val="2"/>
                <w:sz w:val="24"/>
                <w:szCs w:val="32"/>
                <w:vertAlign w:val="baseline"/>
                <w:lang w:val="en-US" w:eastAsia="zh-CN" w:bidi="ar-SA"/>
              </w:rPr>
            </w:pPr>
            <w:r>
              <w:rPr>
                <w:rFonts w:hint="eastAsia" w:ascii="仿宋" w:hAnsi="仿宋" w:eastAsia="仿宋" w:cs="仿宋"/>
                <w:b w:val="0"/>
                <w:bCs w:val="0"/>
                <w:sz w:val="24"/>
                <w:szCs w:val="24"/>
                <w:vertAlign w:val="baseline"/>
                <w:lang w:val="en-US" w:eastAsia="zh-CN"/>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贮存、处置场所面积</w:t>
            </w:r>
          </w:p>
        </w:tc>
        <w:tc>
          <w:tcPr>
            <w:tcW w:w="4357" w:type="dxa"/>
            <w:vAlign w:val="top"/>
          </w:tcPr>
          <w:p>
            <w:pPr>
              <w:jc w:val="center"/>
              <w:rPr>
                <w:rFonts w:hint="eastAsia" w:ascii="宋体" w:hAnsi="宋体" w:eastAsia="宋体" w:cs="宋体"/>
                <w:b/>
                <w:bCs/>
                <w:kern w:val="2"/>
                <w:sz w:val="24"/>
                <w:szCs w:val="32"/>
                <w:vertAlign w:val="baseline"/>
                <w:lang w:val="en-US" w:eastAsia="zh-CN" w:bidi="ar-SA"/>
              </w:rPr>
            </w:pPr>
            <w:r>
              <w:rPr>
                <w:rFonts w:hint="eastAsia" w:ascii="仿宋" w:hAnsi="仿宋" w:eastAsia="仿宋" w:cs="仿宋"/>
                <w:b w:val="0"/>
                <w:bCs w:val="0"/>
                <w:sz w:val="24"/>
                <w:szCs w:val="24"/>
                <w:vertAlign w:val="baseline"/>
                <w:lang w:val="en-US" w:eastAsia="zh-CN"/>
              </w:rPr>
              <w:t>124.8m</w:t>
            </w:r>
            <w:r>
              <w:rPr>
                <w:rFonts w:hint="eastAsia" w:ascii="仿宋" w:hAnsi="仿宋" w:eastAsia="仿宋" w:cs="仿宋"/>
                <w:b w:val="0"/>
                <w:bCs w:val="0"/>
                <w:sz w:val="24"/>
                <w:szCs w:val="24"/>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贮存、处置场所经纬度坐标</w:t>
            </w:r>
          </w:p>
        </w:tc>
        <w:tc>
          <w:tcPr>
            <w:tcW w:w="4357" w:type="dxa"/>
            <w:vAlign w:val="top"/>
          </w:tcPr>
          <w:p>
            <w:pPr>
              <w:jc w:val="center"/>
              <w:rPr>
                <w:rFonts w:hint="eastAsia" w:ascii="宋体" w:hAnsi="宋体" w:eastAsia="宋体" w:cs="宋体"/>
                <w:b/>
                <w:bCs/>
                <w:kern w:val="2"/>
                <w:sz w:val="24"/>
                <w:szCs w:val="32"/>
                <w:vertAlign w:val="baseline"/>
                <w:lang w:val="en-US" w:eastAsia="zh-CN" w:bidi="ar-SA"/>
              </w:rPr>
            </w:pPr>
            <w:r>
              <w:rPr>
                <w:rFonts w:hint="eastAsia" w:ascii="仿宋" w:hAnsi="仿宋" w:eastAsia="仿宋" w:cs="仿宋"/>
                <w:b w:val="0"/>
                <w:bCs w:val="0"/>
                <w:sz w:val="24"/>
                <w:szCs w:val="24"/>
                <w:vertAlign w:val="baseline"/>
                <w:lang w:val="en-US" w:eastAsia="zh-CN"/>
              </w:rPr>
              <w:t>经度：90°15′15″纬度：44°33′16″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受托方名称</w:t>
            </w:r>
          </w:p>
        </w:tc>
        <w:tc>
          <w:tcPr>
            <w:tcW w:w="4357" w:type="dxa"/>
          </w:tcPr>
          <w:p>
            <w:pPr>
              <w:jc w:val="center"/>
              <w:rPr>
                <w:rFonts w:hint="eastAsia" w:ascii="宋体" w:hAnsi="宋体" w:eastAsia="宋体" w:cs="宋体"/>
                <w:b/>
                <w:bCs/>
                <w:sz w:val="24"/>
                <w:szCs w:val="32"/>
                <w:vertAlign w:val="baseline"/>
                <w:lang w:val="en-US" w:eastAsia="zh-CN"/>
              </w:rPr>
            </w:pPr>
            <w:r>
              <w:rPr>
                <w:rFonts w:hint="eastAsia" w:ascii="宋体" w:hAnsi="宋体" w:eastAsia="宋体" w:cs="宋体"/>
                <w:b w:val="0"/>
                <w:bCs w:val="0"/>
                <w:sz w:val="21"/>
                <w:szCs w:val="21"/>
                <w:vertAlign w:val="baseline"/>
                <w:lang w:val="en-US" w:eastAsia="zh-CN"/>
              </w:rPr>
              <w:t>新疆海克新能源科技有限公司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名称</w:t>
            </w:r>
          </w:p>
        </w:tc>
        <w:tc>
          <w:tcPr>
            <w:tcW w:w="4357"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废催化剂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废物代码</w:t>
            </w:r>
          </w:p>
        </w:tc>
        <w:tc>
          <w:tcPr>
            <w:tcW w:w="4357" w:type="dxa"/>
          </w:tcPr>
          <w:p>
            <w:pPr>
              <w:keepNext w:val="0"/>
              <w:keepLines w:val="0"/>
              <w:widowControl/>
              <w:suppressLineNumbers w:val="0"/>
              <w:jc w:val="center"/>
              <w:rPr>
                <w:rFonts w:hint="eastAsia" w:ascii="宋体" w:hAnsi="宋体" w:eastAsia="宋体" w:cs="宋体"/>
                <w:b w:val="0"/>
                <w:bCs w:val="0"/>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772-007-50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主要有害成分</w:t>
            </w:r>
          </w:p>
        </w:tc>
        <w:tc>
          <w:tcPr>
            <w:tcW w:w="4357" w:type="dxa"/>
          </w:tcPr>
          <w:p>
            <w:pPr>
              <w:keepNext w:val="0"/>
              <w:keepLines w:val="0"/>
              <w:widowControl/>
              <w:suppressLineNumbers w:val="0"/>
              <w:jc w:val="center"/>
              <w:rPr>
                <w:rFonts w:hint="eastAsia" w:ascii="宋体" w:hAnsi="宋体" w:eastAsia="宋体" w:cs="宋体"/>
                <w:b w:val="0"/>
                <w:bCs w:val="0"/>
                <w:sz w:val="21"/>
                <w:szCs w:val="21"/>
                <w:vertAlign w:val="baseline"/>
                <w:lang w:val="en-US" w:eastAsia="zh-CN"/>
              </w:rPr>
            </w:pPr>
            <w:r>
              <w:rPr>
                <w:rFonts w:ascii="黑体" w:hAnsi="宋体" w:eastAsia="黑体" w:cs="黑体"/>
                <w:color w:val="000000"/>
                <w:kern w:val="0"/>
                <w:sz w:val="21"/>
                <w:szCs w:val="21"/>
                <w:lang w:val="en-US" w:eastAsia="zh-CN" w:bidi="ar"/>
              </w:rPr>
              <w:t>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危险特性</w:t>
            </w:r>
          </w:p>
        </w:tc>
        <w:tc>
          <w:tcPr>
            <w:tcW w:w="4357" w:type="dxa"/>
          </w:tcPr>
          <w:p>
            <w:pPr>
              <w:keepNext w:val="0"/>
              <w:keepLines w:val="0"/>
              <w:widowControl/>
              <w:suppressLineNumbers w:val="0"/>
              <w:ind w:firstLine="1890" w:firstLineChars="900"/>
              <w:jc w:val="left"/>
              <w:rPr>
                <w:rFonts w:hint="eastAsia" w:ascii="宋体" w:hAnsi="宋体" w:eastAsia="宋体" w:cs="宋体"/>
                <w:b w:val="0"/>
                <w:bCs w:val="0"/>
                <w:sz w:val="21"/>
                <w:szCs w:val="21"/>
                <w:vertAlign w:val="baseline"/>
                <w:lang w:val="en-US" w:eastAsia="zh-CN"/>
              </w:rPr>
            </w:pPr>
            <w:r>
              <w:rPr>
                <w:rFonts w:ascii="黑体" w:hAnsi="宋体" w:eastAsia="黑体" w:cs="黑体"/>
                <w:color w:val="000000"/>
                <w:kern w:val="0"/>
                <w:sz w:val="21"/>
                <w:szCs w:val="21"/>
                <w:lang w:val="en-US" w:eastAsia="zh-CN" w:bidi="ar"/>
              </w:rPr>
              <w:t>毒性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累计贮存量</w:t>
            </w:r>
          </w:p>
        </w:tc>
        <w:tc>
          <w:tcPr>
            <w:tcW w:w="4357"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利用处置方式</w:t>
            </w:r>
          </w:p>
        </w:tc>
        <w:tc>
          <w:tcPr>
            <w:tcW w:w="4357" w:type="dxa"/>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利用处置量</w:t>
            </w:r>
          </w:p>
        </w:tc>
        <w:tc>
          <w:tcPr>
            <w:tcW w:w="4357" w:type="dxa"/>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贮存、处置场所名称</w:t>
            </w:r>
          </w:p>
        </w:tc>
        <w:tc>
          <w:tcPr>
            <w:tcW w:w="4357" w:type="dxa"/>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设施的类型(一类或二类)</w:t>
            </w:r>
          </w:p>
        </w:tc>
        <w:tc>
          <w:tcPr>
            <w:tcW w:w="4357" w:type="dxa"/>
          </w:tcPr>
          <w:p>
            <w:pPr>
              <w:jc w:val="center"/>
              <w:rPr>
                <w:rFonts w:hint="eastAsia" w:ascii="宋体" w:hAnsi="宋体" w:eastAsia="宋体" w:cs="宋体"/>
                <w:b w:val="0"/>
                <w:bCs w:val="0"/>
                <w:sz w:val="21"/>
                <w:szCs w:val="21"/>
                <w:vertAlign w:val="baseline"/>
                <w:lang w:val="en-US" w:eastAsia="zh-CN"/>
              </w:rPr>
            </w:pPr>
            <w:r>
              <w:rPr>
                <w:rFonts w:hint="eastAsia" w:ascii="仿宋" w:hAnsi="仿宋" w:eastAsia="仿宋" w:cs="仿宋"/>
                <w:b w:val="0"/>
                <w:bCs w:val="0"/>
                <w:sz w:val="24"/>
                <w:szCs w:val="24"/>
                <w:vertAlign w:val="baseline"/>
                <w:lang w:val="en-US" w:eastAsia="zh-CN"/>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贮存、处置场所面积</w:t>
            </w:r>
          </w:p>
        </w:tc>
        <w:tc>
          <w:tcPr>
            <w:tcW w:w="4357" w:type="dxa"/>
          </w:tcPr>
          <w:p>
            <w:pPr>
              <w:jc w:val="center"/>
              <w:rPr>
                <w:rFonts w:hint="eastAsia" w:ascii="宋体" w:hAnsi="宋体" w:eastAsia="宋体" w:cs="宋体"/>
                <w:b w:val="0"/>
                <w:bCs w:val="0"/>
                <w:sz w:val="21"/>
                <w:szCs w:val="21"/>
                <w:vertAlign w:val="baseline"/>
                <w:lang w:val="en-US" w:eastAsia="zh-CN"/>
              </w:rPr>
            </w:pPr>
            <w:r>
              <w:rPr>
                <w:rFonts w:hint="eastAsia" w:ascii="仿宋" w:hAnsi="仿宋" w:eastAsia="仿宋" w:cs="仿宋"/>
                <w:b w:val="0"/>
                <w:bCs w:val="0"/>
                <w:sz w:val="24"/>
                <w:szCs w:val="24"/>
                <w:vertAlign w:val="baseline"/>
                <w:lang w:val="en-US" w:eastAsia="zh-CN"/>
              </w:rPr>
              <w:t>124.8m</w:t>
            </w:r>
            <w:r>
              <w:rPr>
                <w:rFonts w:hint="eastAsia" w:ascii="仿宋" w:hAnsi="仿宋" w:eastAsia="仿宋" w:cs="仿宋"/>
                <w:b w:val="0"/>
                <w:bCs w:val="0"/>
                <w:sz w:val="24"/>
                <w:szCs w:val="24"/>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贮存、处置场所经纬度坐标</w:t>
            </w:r>
          </w:p>
        </w:tc>
        <w:tc>
          <w:tcPr>
            <w:tcW w:w="4357"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经度：90°15′15″纬度：44°33′16″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受托方名称</w:t>
            </w:r>
          </w:p>
        </w:tc>
        <w:tc>
          <w:tcPr>
            <w:tcW w:w="4357"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新疆绿园华泰环保科技有限公司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4261"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危险废物产生情况</w:t>
            </w:r>
          </w:p>
        </w:tc>
        <w:tc>
          <w:tcPr>
            <w:tcW w:w="4357"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2022年危废库暂存废油：7.52吨。</w:t>
            </w:r>
          </w:p>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脱硝催化剂产生量484.04吨，已交有资质的第三方处置。</w:t>
            </w:r>
          </w:p>
        </w:tc>
      </w:tr>
    </w:tbl>
    <w:p>
      <w:pPr>
        <w:jc w:val="center"/>
        <w:rPr>
          <w:rFonts w:hint="default" w:ascii="宋体" w:hAnsi="宋体" w:eastAsia="宋体" w:cs="宋体"/>
          <w:b w:val="0"/>
          <w:bCs w:val="0"/>
          <w:sz w:val="21"/>
          <w:szCs w:val="21"/>
          <w:vertAlign w:val="baseli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36304E"/>
    <w:multiLevelType w:val="singleLevel"/>
    <w:tmpl w:val="B736304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3NmY3NGQwYmI0NzVkNzk3MzRjYzMwNWRmZjJkNWQifQ=="/>
  </w:docVars>
  <w:rsids>
    <w:rsidRoot w:val="00000000"/>
    <w:rsid w:val="20CC358C"/>
    <w:rsid w:val="21851F34"/>
    <w:rsid w:val="29656152"/>
    <w:rsid w:val="2A984622"/>
    <w:rsid w:val="38533C6D"/>
    <w:rsid w:val="62230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2357</Words>
  <Characters>2790</Characters>
  <Lines>0</Lines>
  <Paragraphs>0</Paragraphs>
  <TotalTime>20</TotalTime>
  <ScaleCrop>false</ScaleCrop>
  <LinksUpToDate>false</LinksUpToDate>
  <CharactersWithSpaces>2936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2022-12-13T08:41:00Z</dcterms:created>
  <dc:creator>Administrator</dc:creator>
  <cp:lastModifiedBy>依恋</cp:lastModifiedBy>
  <cp:lastPrinted>2022-12-19T02:49:58Z</cp:lastPrinted>
  <dcterms:modified xsi:type="dcterms:W3CDTF">2022-12-19T06:41:45Z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0B1C01BDE61D4505A7EEC16B31451808</vt:lpwstr>
  </property>
</Properties>
</file>