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color w:val="auto"/>
          <w:sz w:val="32"/>
          <w:szCs w:val="32"/>
          <w:highlight w:val="none"/>
          <w:u w:val="none"/>
        </w:rPr>
      </w:pPr>
      <w:bookmarkStart w:id="0" w:name="OLE_LINK9"/>
      <w:bookmarkStart w:id="1" w:name="OLE_LINK1"/>
    </w:p>
    <w:p>
      <w:pPr>
        <w:pStyle w:val="16"/>
        <w:spacing w:line="560" w:lineRule="exact"/>
        <w:jc w:val="center"/>
        <w:rPr>
          <w:rFonts w:cs="仿宋_GB2312"/>
          <w:color w:val="auto"/>
          <w:sz w:val="32"/>
          <w:szCs w:val="32"/>
          <w:highlight w:val="none"/>
          <w:u w:val="none"/>
        </w:rPr>
      </w:pPr>
    </w:p>
    <w:p>
      <w:pPr>
        <w:pStyle w:val="16"/>
        <w:spacing w:line="560" w:lineRule="exact"/>
        <w:jc w:val="center"/>
        <w:rPr>
          <w:rFonts w:cs="仿宋_GB2312"/>
          <w:color w:val="auto"/>
          <w:sz w:val="32"/>
          <w:szCs w:val="32"/>
          <w:highlight w:val="none"/>
          <w:u w:val="none"/>
        </w:rPr>
      </w:pPr>
    </w:p>
    <w:p>
      <w:pPr>
        <w:pStyle w:val="16"/>
        <w:spacing w:line="560" w:lineRule="exact"/>
        <w:jc w:val="center"/>
        <w:rPr>
          <w:rFonts w:cs="仿宋_GB2312"/>
          <w:color w:val="auto"/>
          <w:sz w:val="32"/>
          <w:szCs w:val="32"/>
          <w:highlight w:val="none"/>
          <w:u w:val="none"/>
        </w:rPr>
      </w:pPr>
    </w:p>
    <w:p>
      <w:pPr>
        <w:pStyle w:val="16"/>
        <w:spacing w:line="560" w:lineRule="exact"/>
        <w:jc w:val="center"/>
        <w:rPr>
          <w:rFonts w:cs="仿宋_GB2312"/>
          <w:color w:val="auto"/>
          <w:sz w:val="32"/>
          <w:szCs w:val="32"/>
          <w:highlight w:val="none"/>
          <w:u w:val="none"/>
        </w:rPr>
      </w:pPr>
    </w:p>
    <w:p>
      <w:pPr>
        <w:pStyle w:val="16"/>
        <w:spacing w:line="560" w:lineRule="exact"/>
        <w:jc w:val="center"/>
        <w:rPr>
          <w:rFonts w:cs="仿宋_GB2312"/>
          <w:color w:val="auto"/>
          <w:sz w:val="32"/>
          <w:szCs w:val="32"/>
          <w:highlight w:val="none"/>
          <w:u w:val="none"/>
        </w:rPr>
      </w:pPr>
    </w:p>
    <w:p>
      <w:pPr>
        <w:pStyle w:val="16"/>
        <w:spacing w:line="560" w:lineRule="exact"/>
        <w:jc w:val="center"/>
        <w:rPr>
          <w:rFonts w:cs="仿宋_GB2312"/>
          <w:color w:val="auto"/>
          <w:sz w:val="32"/>
          <w:szCs w:val="32"/>
          <w:highlight w:val="none"/>
          <w:u w:val="none"/>
        </w:rPr>
      </w:pPr>
    </w:p>
    <w:p>
      <w:pPr>
        <w:spacing w:line="560" w:lineRule="exact"/>
        <w:jc w:val="center"/>
        <w:rPr>
          <w:rFonts w:eastAsia="楷体_GB2312"/>
          <w:color w:val="auto"/>
          <w:sz w:val="32"/>
          <w:szCs w:val="32"/>
          <w:highlight w:val="none"/>
          <w:u w:val="none"/>
        </w:rPr>
      </w:pPr>
      <w:r>
        <w:rPr>
          <w:rFonts w:hint="eastAsia" w:eastAsia="楷体_GB2312"/>
          <w:color w:val="auto"/>
          <w:sz w:val="32"/>
          <w:szCs w:val="32"/>
          <w:highlight w:val="none"/>
          <w:u w:val="none"/>
        </w:rPr>
        <w:t>新准环评〔</w:t>
      </w:r>
      <w:r>
        <w:rPr>
          <w:rFonts w:eastAsia="楷体_GB2312"/>
          <w:color w:val="auto"/>
          <w:sz w:val="32"/>
          <w:szCs w:val="32"/>
          <w:highlight w:val="none"/>
          <w:u w:val="none"/>
        </w:rPr>
        <w:t>20</w:t>
      </w:r>
      <w:r>
        <w:rPr>
          <w:rFonts w:hint="eastAsia" w:eastAsia="楷体_GB2312"/>
          <w:color w:val="auto"/>
          <w:sz w:val="32"/>
          <w:szCs w:val="32"/>
          <w:highlight w:val="none"/>
          <w:u w:val="none"/>
          <w:lang w:val="en-US" w:eastAsia="zh-CN"/>
        </w:rPr>
        <w:t>22</w:t>
      </w:r>
      <w:r>
        <w:rPr>
          <w:rFonts w:hint="eastAsia" w:eastAsia="楷体_GB2312"/>
          <w:color w:val="auto"/>
          <w:sz w:val="32"/>
          <w:szCs w:val="32"/>
          <w:highlight w:val="none"/>
          <w:u w:val="none"/>
        </w:rPr>
        <w:t>〕</w:t>
      </w:r>
      <w:r>
        <w:rPr>
          <w:rFonts w:hint="eastAsia" w:eastAsia="楷体_GB2312"/>
          <w:color w:val="auto"/>
          <w:sz w:val="32"/>
          <w:szCs w:val="32"/>
          <w:highlight w:val="none"/>
          <w:u w:val="none"/>
          <w:lang w:val="en-US" w:eastAsia="zh-CN"/>
        </w:rPr>
        <w:t>16</w:t>
      </w:r>
      <w:r>
        <w:rPr>
          <w:rFonts w:hint="eastAsia" w:eastAsia="楷体_GB2312"/>
          <w:color w:val="auto"/>
          <w:sz w:val="32"/>
          <w:szCs w:val="32"/>
          <w:highlight w:val="none"/>
          <w:u w:val="none"/>
        </w:rPr>
        <w:t>号</w:t>
      </w:r>
    </w:p>
    <w:p>
      <w:pPr>
        <w:spacing w:line="560" w:lineRule="exact"/>
        <w:jc w:val="center"/>
        <w:rPr>
          <w:rFonts w:ascii="方正小标宋简体" w:hAnsi="方正小标宋简体" w:eastAsia="方正小标宋简体" w:cs="方正小标宋简体"/>
          <w:color w:val="auto"/>
          <w:sz w:val="44"/>
          <w:szCs w:val="44"/>
          <w:highlight w:val="none"/>
          <w:u w:val="none"/>
        </w:rPr>
      </w:pPr>
    </w:p>
    <w:p>
      <w:pPr>
        <w:autoSpaceDE w:val="0"/>
        <w:autoSpaceDN w:val="0"/>
        <w:adjustRightInd w:val="0"/>
        <w:spacing w:line="560" w:lineRule="exact"/>
        <w:jc w:val="center"/>
        <w:rPr>
          <w:rFonts w:eastAsia="方正小标宋简体"/>
          <w:color w:val="auto"/>
          <w:sz w:val="44"/>
          <w:szCs w:val="44"/>
          <w:highlight w:val="none"/>
          <w:u w:val="none"/>
        </w:rPr>
      </w:pPr>
      <w:r>
        <w:rPr>
          <w:rFonts w:hint="eastAsia" w:eastAsia="方正小标宋简体"/>
          <w:color w:val="auto"/>
          <w:sz w:val="44"/>
          <w:szCs w:val="44"/>
          <w:highlight w:val="none"/>
          <w:u w:val="none"/>
        </w:rPr>
        <w:t>关于《新疆神彩东晟环保科技有限公司固废填埋改建项目环境影响报告书》的批复</w:t>
      </w:r>
    </w:p>
    <w:p>
      <w:pPr>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u w:val="none"/>
        </w:rPr>
      </w:pPr>
    </w:p>
    <w:bookmarkEnd w:id="0"/>
    <w:bookmarkEnd w:id="1"/>
    <w:p>
      <w:pPr>
        <w:keepNext w:val="0"/>
        <w:keepLines w:val="0"/>
        <w:pageBreakBefore w:val="0"/>
        <w:kinsoku/>
        <w:wordWrap/>
        <w:overflowPunct/>
        <w:topLinePunct w:val="0"/>
        <w:bidi w:val="0"/>
        <w:spacing w:line="560" w:lineRule="exact"/>
        <w:rPr>
          <w:rFonts w:eastAsia="仿宋_GB2312"/>
          <w:color w:val="auto"/>
          <w:sz w:val="32"/>
          <w:szCs w:val="32"/>
          <w:highlight w:val="none"/>
          <w:u w:val="none"/>
        </w:rPr>
      </w:pPr>
      <w:r>
        <w:rPr>
          <w:rFonts w:hint="eastAsia" w:eastAsia="仿宋_GB2312"/>
          <w:color w:val="auto"/>
          <w:sz w:val="32"/>
          <w:szCs w:val="32"/>
          <w:highlight w:val="none"/>
          <w:u w:val="none"/>
        </w:rPr>
        <w:t>新疆神彩东晟环保科技有限公司：</w:t>
      </w:r>
    </w:p>
    <w:p>
      <w:pPr>
        <w:keepNext w:val="0"/>
        <w:keepLines w:val="0"/>
        <w:pageBreakBefore w:val="0"/>
        <w:kinsoku/>
        <w:wordWrap/>
        <w:overflowPunct/>
        <w:topLinePunct w:val="0"/>
        <w:bidi w:val="0"/>
        <w:spacing w:line="56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none"/>
        </w:rPr>
        <w:t>你单位报送的《新疆神彩东晟环保科技有限公司固废填埋改建项目环境影响报告书》（以下简称《报告</w:t>
      </w:r>
      <w:r>
        <w:rPr>
          <w:rFonts w:hint="eastAsia" w:eastAsia="仿宋_GB2312"/>
          <w:color w:val="auto"/>
          <w:sz w:val="32"/>
          <w:szCs w:val="32"/>
          <w:highlight w:val="none"/>
          <w:u w:val="none"/>
          <w:lang w:eastAsia="zh-CN"/>
        </w:rPr>
        <w:t>书</w:t>
      </w:r>
      <w:r>
        <w:rPr>
          <w:rFonts w:hint="eastAsia" w:eastAsia="仿宋_GB2312"/>
          <w:color w:val="auto"/>
          <w:sz w:val="32"/>
          <w:szCs w:val="32"/>
          <w:highlight w:val="none"/>
          <w:u w:val="none"/>
        </w:rPr>
        <w:t>》）及申请材料已收悉。经研究，现批复如下：</w:t>
      </w:r>
    </w:p>
    <w:p>
      <w:pPr>
        <w:keepNext w:val="0"/>
        <w:keepLines w:val="0"/>
        <w:pageBreakBefore w:val="0"/>
        <w:kinsoku/>
        <w:wordWrap/>
        <w:overflowPunct/>
        <w:topLinePunct w:val="0"/>
        <w:autoSpaceDE w:val="0"/>
        <w:autoSpaceDN w:val="0"/>
        <w:bidi w:val="0"/>
        <w:adjustRightInd w:val="0"/>
        <w:spacing w:line="560" w:lineRule="exact"/>
        <w:ind w:firstLine="640" w:firstLineChars="200"/>
        <w:rPr>
          <w:rFonts w:hint="default" w:eastAsia="仿宋_GB2312"/>
          <w:color w:val="auto"/>
          <w:sz w:val="32"/>
          <w:szCs w:val="32"/>
          <w:highlight w:val="none"/>
          <w:u w:val="none"/>
          <w:lang w:val="en-US"/>
        </w:rPr>
      </w:pPr>
      <w:r>
        <w:rPr>
          <w:rFonts w:hint="eastAsia" w:eastAsia="仿宋_GB2312"/>
          <w:color w:val="auto"/>
          <w:sz w:val="32"/>
          <w:szCs w:val="32"/>
          <w:highlight w:val="none"/>
          <w:u w:val="none"/>
        </w:rPr>
        <w:t>一、项目概况：项目位于准东经济技术开发区彩北产业园区，项目区中心地理坐标为E89°17′49.111″，N44°58′16.952″。</w:t>
      </w:r>
      <w:r>
        <w:rPr>
          <w:rFonts w:hint="eastAsia" w:eastAsia="仿宋_GB2312"/>
          <w:color w:val="auto"/>
          <w:sz w:val="32"/>
          <w:szCs w:val="32"/>
          <w:highlight w:val="none"/>
          <w:u w:val="none"/>
          <w:lang w:eastAsia="zh-CN"/>
        </w:rPr>
        <w:t>该</w:t>
      </w:r>
      <w:r>
        <w:rPr>
          <w:rFonts w:hint="eastAsia" w:eastAsia="仿宋_GB2312"/>
          <w:color w:val="auto"/>
          <w:sz w:val="32"/>
          <w:szCs w:val="32"/>
          <w:highlight w:val="none"/>
          <w:u w:val="none"/>
          <w:lang w:val="en-US" w:eastAsia="zh-CN"/>
        </w:rPr>
        <w:t>项目在环境影响评价报告未得到批复的情况下擅自开工建设，违反了《中华人民共和国环境影响评价法》相关规定，违法行为已得到查处，你公司应深刻吸取教训，增强守法意识，杜绝此类违法行为再次发生</w:t>
      </w:r>
      <w:r>
        <w:rPr>
          <w:rFonts w:hint="eastAsia" w:eastAsia="仿宋_GB2312"/>
          <w:color w:val="auto"/>
          <w:sz w:val="32"/>
          <w:szCs w:val="32"/>
          <w:highlight w:val="none"/>
          <w:u w:val="none"/>
        </w:rPr>
        <w:t>；</w:t>
      </w:r>
      <w:r>
        <w:rPr>
          <w:rFonts w:hint="eastAsia" w:eastAsia="仿宋_GB2312"/>
          <w:color w:val="auto"/>
          <w:sz w:val="32"/>
          <w:szCs w:val="32"/>
          <w:highlight w:val="none"/>
          <w:u w:val="none"/>
          <w:lang w:eastAsia="zh-CN"/>
        </w:rPr>
        <w:t>项目</w:t>
      </w:r>
      <w:r>
        <w:rPr>
          <w:rFonts w:hint="eastAsia" w:eastAsia="仿宋_GB2312"/>
          <w:color w:val="auto"/>
          <w:sz w:val="32"/>
          <w:szCs w:val="32"/>
          <w:highlight w:val="none"/>
          <w:u w:val="none"/>
        </w:rPr>
        <w:t>主要处理准东经济技术开发区企业所产生的粉煤灰、炉渣及脱硫石膏等第Ⅱ类一般固体废物；处理工艺为填埋。填埋区平均挖深3m，堆高25m，总容积988.96万m</w:t>
      </w:r>
      <w:r>
        <w:rPr>
          <w:rFonts w:hint="eastAsia" w:eastAsia="仿宋_GB2312"/>
          <w:color w:val="auto"/>
          <w:sz w:val="32"/>
          <w:szCs w:val="32"/>
          <w:highlight w:val="none"/>
          <w:u w:val="none"/>
          <w:vertAlign w:val="superscript"/>
        </w:rPr>
        <w:t>3</w:t>
      </w:r>
      <w:r>
        <w:rPr>
          <w:rFonts w:hint="eastAsia" w:eastAsia="仿宋_GB2312"/>
          <w:color w:val="auto"/>
          <w:sz w:val="32"/>
          <w:szCs w:val="32"/>
          <w:highlight w:val="none"/>
          <w:u w:val="none"/>
        </w:rPr>
        <w:t>，有效容积800万m</w:t>
      </w:r>
      <w:r>
        <w:rPr>
          <w:rFonts w:hint="eastAsia" w:eastAsia="仿宋_GB2312"/>
          <w:color w:val="auto"/>
          <w:sz w:val="32"/>
          <w:szCs w:val="32"/>
          <w:highlight w:val="none"/>
          <w:u w:val="none"/>
          <w:vertAlign w:val="superscript"/>
        </w:rPr>
        <w:t>3</w:t>
      </w:r>
      <w:r>
        <w:rPr>
          <w:rFonts w:hint="eastAsia" w:eastAsia="仿宋_GB2312"/>
          <w:color w:val="auto"/>
          <w:sz w:val="32"/>
          <w:szCs w:val="32"/>
          <w:highlight w:val="none"/>
          <w:u w:val="none"/>
        </w:rPr>
        <w:t>，项目总占地588亩，服务年限8年。项目主体工程包含灰坝、运灰道路、场地排水系统、防渗处理及配套辅助设施。项目总投资3500万元，环保投资313万元，其中环保投资占总投资的8.94%。</w:t>
      </w:r>
    </w:p>
    <w:p>
      <w:pPr>
        <w:keepNext w:val="0"/>
        <w:keepLines w:val="0"/>
        <w:pageBreakBefore w:val="0"/>
        <w:kinsoku/>
        <w:wordWrap/>
        <w:overflowPunct/>
        <w:topLinePunct w:val="0"/>
        <w:bidi w:val="0"/>
        <w:spacing w:line="56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none"/>
        </w:rPr>
        <w:t>根据昌吉市新瑞鑫诚环保咨询服务有限公司编制的《报告表》评价结论</w:t>
      </w:r>
      <w:r>
        <w:rPr>
          <w:rFonts w:hint="eastAsia" w:eastAsia="仿宋_GB2312"/>
          <w:color w:val="auto"/>
          <w:sz w:val="32"/>
          <w:szCs w:val="32"/>
          <w:highlight w:val="none"/>
          <w:u w:val="none"/>
          <w:lang w:eastAsia="zh-CN"/>
        </w:rPr>
        <w:t>以及我局委托新疆维吾尔自治区环境工程评估中心评审出具的专家意见</w:t>
      </w:r>
      <w:r>
        <w:rPr>
          <w:rFonts w:hint="eastAsia" w:eastAsia="仿宋_GB2312"/>
          <w:color w:val="auto"/>
          <w:sz w:val="32"/>
          <w:szCs w:val="32"/>
          <w:highlight w:val="none"/>
          <w:u w:val="none"/>
        </w:rPr>
        <w:t>，我局原则同意《报告</w:t>
      </w:r>
      <w:r>
        <w:rPr>
          <w:rFonts w:hint="eastAsia" w:eastAsia="仿宋_GB2312"/>
          <w:color w:val="auto"/>
          <w:sz w:val="32"/>
          <w:szCs w:val="32"/>
          <w:highlight w:val="none"/>
          <w:u w:val="none"/>
          <w:lang w:eastAsia="zh-CN"/>
        </w:rPr>
        <w:t>书</w:t>
      </w:r>
      <w:r>
        <w:rPr>
          <w:rFonts w:hint="eastAsia" w:eastAsia="仿宋_GB2312"/>
          <w:color w:val="auto"/>
          <w:sz w:val="32"/>
          <w:szCs w:val="32"/>
          <w:highlight w:val="none"/>
          <w:u w:val="none"/>
        </w:rPr>
        <w:t>》中所列建设项目性质、规模、地点和采取的环境保护措施。</w:t>
      </w:r>
    </w:p>
    <w:p>
      <w:pPr>
        <w:pStyle w:val="17"/>
        <w:keepNext w:val="0"/>
        <w:keepLines w:val="0"/>
        <w:pageBreakBefore w:val="0"/>
        <w:kinsoku/>
        <w:wordWrap/>
        <w:overflowPunct/>
        <w:topLinePunct w:val="0"/>
        <w:bidi w:val="0"/>
        <w:spacing w:line="560" w:lineRule="exact"/>
        <w:ind w:firstLine="640" w:firstLineChars="200"/>
        <w:rPr>
          <w:rFonts w:eastAsia="仿宋_GB2312" w:cs="Times New Roman"/>
          <w:color w:val="auto"/>
          <w:kern w:val="0"/>
          <w:sz w:val="32"/>
          <w:szCs w:val="32"/>
          <w:highlight w:val="none"/>
          <w:u w:val="none"/>
        </w:rPr>
      </w:pPr>
      <w:r>
        <w:rPr>
          <w:rFonts w:hint="eastAsia" w:eastAsia="仿宋_GB2312" w:cs="Times New Roman"/>
          <w:bCs/>
          <w:color w:val="auto"/>
          <w:sz w:val="32"/>
          <w:szCs w:val="32"/>
          <w:highlight w:val="none"/>
          <w:u w:val="none"/>
        </w:rPr>
        <w:t>二、要求建设单位在项目建设和运营期间必须严格落实《报告表》中所提出的各项环保措施，并做好以下工作：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Cs/>
          <w:color w:val="auto"/>
          <w:sz w:val="32"/>
          <w:szCs w:val="32"/>
          <w:u w:val="none"/>
          <w:lang w:eastAsia="zh-CN"/>
        </w:rPr>
        <w:t>施工期</w:t>
      </w:r>
      <w:r>
        <w:rPr>
          <w:rFonts w:hint="default" w:ascii="Times New Roman" w:hAnsi="Times New Roman" w:eastAsia="仿宋_GB2312" w:cs="Times New Roman"/>
          <w:bCs/>
          <w:color w:val="auto"/>
          <w:sz w:val="32"/>
          <w:szCs w:val="32"/>
          <w:u w:val="none"/>
          <w:lang w:val="en-US" w:eastAsia="zh-CN"/>
        </w:rPr>
        <w:t>:（一）落实大气环境保护措施：</w:t>
      </w:r>
      <w:r>
        <w:rPr>
          <w:rFonts w:hint="default" w:ascii="Times New Roman" w:hAnsi="Times New Roman" w:eastAsia="仿宋_GB2312" w:cs="Times New Roman"/>
          <w:color w:val="auto"/>
          <w:kern w:val="0"/>
          <w:sz w:val="32"/>
          <w:szCs w:val="32"/>
          <w:u w:val="none"/>
        </w:rPr>
        <w:t>对易产生扬尘污染的物料需采取封闭、遮盖、洒水等措施降尘。对于施工场地进行定期洒水降尘，作业面要保持一定湿度。遇大风易产生扬尘时，施工单位暂停土方开挖，采取覆盖防尘网、洒水等措施降低扬尘。施工过程中运输车辆限制车速，运输车辆加盖蓬布，严禁在运输中抛撒引起扬尘，施工现场主要道路、材料堆放场地、露天加工场地应根据用途进行硬化，适时适量洒水，同时控制车速，以减小道路扬尘对周边环境的影响。</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u w:val="none"/>
          <w:lang w:eastAsia="zh-CN"/>
        </w:rPr>
        <w:t>落实水环境保护措施：</w:t>
      </w:r>
      <w:r>
        <w:rPr>
          <w:rFonts w:hint="default" w:ascii="Times New Roman" w:hAnsi="Times New Roman" w:eastAsia="仿宋_GB2312" w:cs="Times New Roman"/>
          <w:color w:val="auto"/>
          <w:sz w:val="32"/>
          <w:szCs w:val="32"/>
          <w:highlight w:val="none"/>
          <w:u w:val="none"/>
        </w:rPr>
        <w:t>施工期生活污水排入移动环保公厕，施工结束后，将环保厕所拆除、土地恢复平整。</w:t>
      </w:r>
      <w:r>
        <w:rPr>
          <w:rFonts w:hint="default" w:ascii="Times New Roman" w:hAnsi="Times New Roman" w:eastAsia="仿宋_GB2312" w:cs="Times New Roman"/>
          <w:color w:val="auto"/>
          <w:sz w:val="32"/>
          <w:szCs w:val="32"/>
          <w:highlight w:val="none"/>
          <w:u w:val="none"/>
          <w:lang w:eastAsia="zh-CN"/>
        </w:rPr>
        <w:t>施工废水经防渗沉淀池收集后，回用于厂区绿化及洒水降尘。</w:t>
      </w:r>
    </w:p>
    <w:p>
      <w:pPr>
        <w:pStyle w:val="5"/>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落实噪声环境保护措施：合理选择施工机械、施工方法，尽量选用低噪声设备，在施工过程中，经常对施工设备进行维修保养，避免由于设备性能减退而使噪声增加。保证施工期各项施工活动产生的噪声达到《建筑施工场界环境噪声排放标准》（GB12523－2011）限值要求。</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eastAsia="zh-CN"/>
        </w:rPr>
        <w:t>落实固废环境保护措施：</w:t>
      </w:r>
      <w:r>
        <w:rPr>
          <w:rFonts w:hint="default" w:ascii="Times New Roman" w:hAnsi="Times New Roman" w:eastAsia="仿宋_GB2312" w:cs="Times New Roman"/>
          <w:color w:val="auto"/>
          <w:kern w:val="0"/>
          <w:sz w:val="32"/>
          <w:szCs w:val="32"/>
          <w:u w:val="none"/>
        </w:rPr>
        <w:t>施工过程中产生的建筑垃圾，如废钢筋、绑扎丝、废管材等，分类收集后堆放于指定地点，由施工方统一清运至建筑垃圾填埋场。生活垃圾集中收集，送至生活垃圾填埋场进行处置，禁止随意丢弃。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eastAsia="zh-CN"/>
        </w:rPr>
        <w:t>（五）落实生态环境保护措施：强化施工阶段的环境管理、严格控制施工作业范围、合理安排施工时间，挖掘填埋时执行分层开挖、分层回填、保护好表层土、减少夜间作业，避免灯光、噪声对夜间动物活动的惊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sz w:val="32"/>
          <w:szCs w:val="32"/>
          <w:u w:val="none"/>
          <w:lang w:eastAsia="zh-CN"/>
        </w:rPr>
        <w:t>运营期：（一）落实大气环境保护措施：</w:t>
      </w:r>
      <w:r>
        <w:rPr>
          <w:rFonts w:hint="default" w:ascii="Times New Roman" w:hAnsi="Times New Roman" w:eastAsia="仿宋_GB2312" w:cs="Times New Roman"/>
          <w:color w:val="auto"/>
          <w:kern w:val="0"/>
          <w:sz w:val="32"/>
          <w:szCs w:val="32"/>
          <w:highlight w:val="none"/>
          <w:u w:val="none"/>
        </w:rPr>
        <w:t>填埋场</w:t>
      </w:r>
      <w:r>
        <w:rPr>
          <w:rFonts w:hint="default" w:ascii="Times New Roman" w:hAnsi="Times New Roman" w:eastAsia="仿宋_GB2312" w:cs="Times New Roman"/>
          <w:color w:val="auto"/>
          <w:kern w:val="0"/>
          <w:sz w:val="32"/>
          <w:szCs w:val="32"/>
          <w:highlight w:val="none"/>
          <w:u w:val="none"/>
          <w:lang w:val="zh-CN"/>
        </w:rPr>
        <w:t>固废必须运至指定地点集中堆放，灰渣、脱硫石膏分区堆放，分层碾压堆筑，按次序铺灰碾压，必须做到随倒随压，尽量减少干灰暴露面积和暴露时间，避免碾压不及时或表面水分蒸发后，风吹扬尘造成二次污染，分区、分块堆放应按设计要求进行护坡，以减少风蚀的破坏。</w:t>
      </w:r>
      <w:r>
        <w:rPr>
          <w:rFonts w:hint="eastAsia" w:eastAsia="仿宋_GB2312" w:cs="Times New Roman"/>
          <w:color w:val="auto"/>
          <w:kern w:val="0"/>
          <w:sz w:val="32"/>
          <w:szCs w:val="32"/>
          <w:highlight w:val="none"/>
          <w:u w:val="none"/>
          <w:lang w:val="zh-CN"/>
        </w:rPr>
        <w:t>当区块堆面达到设计标高或堆渣外侧永久堆面形成时，应按设计要求进行防护；加强环境管理，严禁大风天气作业。</w:t>
      </w:r>
      <w:r>
        <w:rPr>
          <w:rFonts w:hint="default" w:ascii="Times New Roman" w:hAnsi="Times New Roman" w:eastAsia="仿宋_GB2312" w:cs="Times New Roman"/>
          <w:color w:val="auto"/>
          <w:kern w:val="0"/>
          <w:sz w:val="32"/>
          <w:szCs w:val="32"/>
          <w:highlight w:val="none"/>
          <w:u w:val="none"/>
          <w:lang w:val="en-US" w:eastAsia="zh-CN"/>
        </w:rPr>
        <w:t>项目区厂界颗粒物浓度须满足《大气污染物综合排放标准》（GB16297-1996）表2无组织排放监控浓度限值。</w:t>
      </w:r>
    </w:p>
    <w:p>
      <w:pPr>
        <w:pStyle w:val="2"/>
        <w:keepNext w:val="0"/>
        <w:keepLines w:val="0"/>
        <w:pageBreakBefore w:val="0"/>
        <w:widowControl w:val="0"/>
        <w:numPr>
          <w:ilvl w:val="0"/>
          <w:numId w:val="3"/>
        </w:numPr>
        <w:kinsoku/>
        <w:wordWrap/>
        <w:overflowPunct/>
        <w:topLinePunct w:val="0"/>
        <w:autoSpaceDE/>
        <w:autoSpaceDN/>
        <w:bidi w:val="0"/>
        <w:spacing w:line="560" w:lineRule="exact"/>
        <w:ind w:firstLine="960" w:firstLineChars="300"/>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highlight w:val="none"/>
          <w:u w:val="none"/>
          <w:lang w:val="en-US" w:eastAsia="zh-CN"/>
        </w:rPr>
        <w:t>落实水环境保护措施：严格落实各项水污染防治措施，强化处置场防渗要求。</w:t>
      </w:r>
      <w:r>
        <w:rPr>
          <w:rFonts w:hint="default" w:ascii="Times New Roman" w:hAnsi="Times New Roman" w:eastAsia="仿宋_GB2312" w:cs="Times New Roman"/>
          <w:color w:val="auto"/>
          <w:kern w:val="0"/>
          <w:sz w:val="32"/>
          <w:szCs w:val="32"/>
          <w:u w:val="none"/>
          <w:lang w:eastAsia="zh-CN"/>
        </w:rPr>
        <w:t>填埋场内设渗滤液导排系统，渗滤液经导排层的渗滤液收集管、收集盲沟重力流至填埋场地势较低处的渗滤液收集池，然后回喷填埋场用于降尘，不外排；</w:t>
      </w:r>
      <w:r>
        <w:rPr>
          <w:rFonts w:hint="eastAsia" w:ascii="Times New Roman" w:hAnsi="Times New Roman" w:eastAsia="仿宋_GB2312" w:cs="Times New Roman"/>
          <w:color w:val="auto"/>
          <w:kern w:val="0"/>
          <w:sz w:val="32"/>
          <w:szCs w:val="32"/>
          <w:highlight w:val="none"/>
          <w:u w:val="none"/>
          <w:lang w:val="en-US" w:eastAsia="zh-CN" w:bidi="ar-SA"/>
        </w:rPr>
        <w:t>洗车废水经沉淀处理后循环使用，</w:t>
      </w:r>
      <w:r>
        <w:rPr>
          <w:rFonts w:hint="eastAsia" w:eastAsia="仿宋_GB2312" w:cs="Times New Roman"/>
          <w:color w:val="auto"/>
          <w:kern w:val="0"/>
          <w:sz w:val="32"/>
          <w:szCs w:val="32"/>
          <w:highlight w:val="none"/>
          <w:u w:val="none"/>
          <w:lang w:val="en-US" w:eastAsia="zh-CN" w:bidi="ar-SA"/>
        </w:rPr>
        <w:t>不外排。</w:t>
      </w:r>
      <w:r>
        <w:rPr>
          <w:rFonts w:hint="default" w:ascii="Times New Roman" w:hAnsi="Times New Roman" w:eastAsia="仿宋_GB2312" w:cs="Times New Roman"/>
          <w:color w:val="auto"/>
          <w:kern w:val="0"/>
          <w:sz w:val="32"/>
          <w:szCs w:val="32"/>
          <w:u w:val="none"/>
          <w:lang w:eastAsia="zh-CN"/>
        </w:rPr>
        <w:t>生活污水经防渗沉淀池处理后定期由吸污车外运至新疆准东金盆湾水林有限公司准东污水处理厂处理。严格按照《一般工业固体废弃物贮存、处置场污染控制标准》（</w:t>
      </w:r>
      <w:r>
        <w:rPr>
          <w:rFonts w:hint="default" w:ascii="Times New Roman" w:hAnsi="Times New Roman" w:eastAsia="仿宋_GB2312" w:cs="Times New Roman"/>
          <w:color w:val="auto"/>
          <w:kern w:val="0"/>
          <w:sz w:val="32"/>
          <w:szCs w:val="32"/>
          <w:u w:val="none"/>
          <w:lang w:val="en-US" w:eastAsia="zh-CN"/>
        </w:rPr>
        <w:t>GB18559-2001</w:t>
      </w:r>
      <w:r>
        <w:rPr>
          <w:rFonts w:hint="default" w:ascii="Times New Roman" w:hAnsi="Times New Roman" w:eastAsia="仿宋_GB2312" w:cs="Times New Roman"/>
          <w:color w:val="auto"/>
          <w:kern w:val="0"/>
          <w:sz w:val="32"/>
          <w:szCs w:val="32"/>
          <w:u w:val="none"/>
          <w:lang w:eastAsia="zh-CN"/>
        </w:rPr>
        <w:t>）中的二类场要求进行防渗。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三</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落实噪声环境保护措施：</w:t>
      </w:r>
      <w:r>
        <w:rPr>
          <w:rFonts w:hint="default" w:ascii="Times New Roman" w:hAnsi="Times New Roman" w:eastAsia="仿宋_GB2312" w:cs="Times New Roman"/>
          <w:color w:val="auto"/>
          <w:kern w:val="0"/>
          <w:sz w:val="32"/>
          <w:szCs w:val="32"/>
          <w:u w:val="none"/>
        </w:rPr>
        <w:t>加强管理，文明生产，合理安排作业时间、生产工序。确保厂界噪声满足《工业企业厂界环境噪声排放标准》(GB12348-2008）限值要求。</w:t>
      </w:r>
    </w:p>
    <w:p>
      <w:pPr>
        <w:keepNext w:val="0"/>
        <w:keepLines w:val="0"/>
        <w:pageBreakBefore w:val="0"/>
        <w:widowControl w:val="0"/>
        <w:numPr>
          <w:ilvl w:val="0"/>
          <w:numId w:val="4"/>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lang w:val="zh-CN"/>
        </w:rPr>
        <w:t>落实固废环境保护措施：加强固体废物的分类管理，运营期内严格按照《一般工业固体废物贮存、处置场污染控制标准》（</w:t>
      </w:r>
      <w:r>
        <w:rPr>
          <w:rFonts w:hint="default" w:ascii="Times New Roman" w:hAnsi="Times New Roman" w:eastAsia="仿宋_GB2312" w:cs="Times New Roman"/>
          <w:color w:val="auto"/>
          <w:kern w:val="0"/>
          <w:sz w:val="32"/>
          <w:szCs w:val="32"/>
          <w:highlight w:val="none"/>
          <w:u w:val="none"/>
          <w:lang w:val="en-US" w:eastAsia="zh-CN"/>
        </w:rPr>
        <w:t>GB18559-2001</w:t>
      </w:r>
      <w:r>
        <w:rPr>
          <w:rFonts w:hint="default" w:ascii="Times New Roman" w:hAnsi="Times New Roman" w:eastAsia="仿宋_GB2312" w:cs="Times New Roman"/>
          <w:color w:val="auto"/>
          <w:kern w:val="0"/>
          <w:sz w:val="32"/>
          <w:szCs w:val="32"/>
          <w:highlight w:val="none"/>
          <w:u w:val="none"/>
          <w:lang w:val="zh-CN"/>
        </w:rPr>
        <w:t>）及其修改单中一般工业固体废物入场要求控制进场的固体废物，按设计要求分区堆放，禁止危险废物及生活垃圾混入。</w:t>
      </w:r>
      <w:r>
        <w:rPr>
          <w:rFonts w:hint="eastAsia" w:eastAsia="仿宋_GB2312" w:cs="Times New Roman"/>
          <w:color w:val="auto"/>
          <w:kern w:val="0"/>
          <w:sz w:val="32"/>
          <w:szCs w:val="32"/>
          <w:highlight w:val="none"/>
          <w:u w:val="none"/>
          <w:lang w:val="zh-CN"/>
        </w:rPr>
        <w:t>车辆冲洗废水沉淀池底泥属危险废物，定期清理后依托准东经济技术开发区危废处置场处理处置。</w:t>
      </w:r>
      <w:r>
        <w:rPr>
          <w:rFonts w:hint="default" w:ascii="Times New Roman" w:hAnsi="Times New Roman" w:eastAsia="仿宋_GB2312" w:cs="Times New Roman"/>
          <w:color w:val="auto"/>
          <w:kern w:val="0"/>
          <w:sz w:val="32"/>
          <w:szCs w:val="32"/>
          <w:highlight w:val="none"/>
          <w:u w:val="none"/>
          <w:lang w:val="zh-CN"/>
        </w:rPr>
        <w:t>生活区配备垃圾箱，生活垃圾集中收集，由环卫部门定期清运。服务期满后按标准和规范要求对固体废物处置场封场处理，并做好场地生态恢复工作。</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lang w:val="zh-CN"/>
        </w:rPr>
        <w:t>项目区邻近新疆卡拉麦里山有蹄类自然保护区实验区边界，项目施工和运行期间应加强对施工、生产等人员的野生动物保护宣教和教育，严格遵守《中华人民共和国野生动物保护法》《中华人民共和国自然保护区条例》（国务院令第</w:t>
      </w:r>
      <w:r>
        <w:rPr>
          <w:rFonts w:hint="default" w:ascii="Times New Roman" w:hAnsi="Times New Roman" w:eastAsia="仿宋_GB2312" w:cs="Times New Roman"/>
          <w:color w:val="auto"/>
          <w:kern w:val="0"/>
          <w:sz w:val="32"/>
          <w:szCs w:val="32"/>
          <w:highlight w:val="none"/>
          <w:u w:val="none"/>
          <w:lang w:val="en-US" w:eastAsia="zh-CN"/>
        </w:rPr>
        <w:t>687号</w:t>
      </w:r>
      <w:r>
        <w:rPr>
          <w:rFonts w:hint="default" w:ascii="Times New Roman" w:hAnsi="Times New Roman" w:eastAsia="仿宋_GB2312" w:cs="Times New Roman"/>
          <w:color w:val="auto"/>
          <w:kern w:val="0"/>
          <w:sz w:val="32"/>
          <w:szCs w:val="32"/>
          <w:highlight w:val="none"/>
          <w:u w:val="none"/>
          <w:lang w:val="zh-CN"/>
        </w:rPr>
        <w:t>），任何人员、车辆等不得擅入自然保护区，严禁捕杀和伤害野生动物。在项目区外围周边采取设置围栏围网等方式，加强对野生动植物保护，减少对动植物的扰动</w:t>
      </w:r>
      <w:r>
        <w:rPr>
          <w:rFonts w:hint="eastAsia" w:eastAsia="仿宋_GB2312" w:cs="Times New Roman"/>
          <w:color w:val="auto"/>
          <w:kern w:val="0"/>
          <w:sz w:val="32"/>
          <w:szCs w:val="32"/>
          <w:highlight w:val="none"/>
          <w:u w:val="none"/>
          <w:lang w:val="zh-CN"/>
        </w:rPr>
        <w:t>。</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kern w:val="0"/>
          <w:sz w:val="32"/>
          <w:szCs w:val="32"/>
          <w:highlight w:val="none"/>
          <w:u w:val="none"/>
          <w:lang w:val="zh-CN" w:eastAsia="zh-CN" w:bidi="ar-SA"/>
        </w:rPr>
      </w:pPr>
      <w:r>
        <w:rPr>
          <w:rFonts w:hint="eastAsia" w:ascii="Times New Roman" w:hAnsi="Times New Roman" w:eastAsia="仿宋_GB2312" w:cs="Times New Roman"/>
          <w:color w:val="auto"/>
          <w:kern w:val="0"/>
          <w:sz w:val="32"/>
          <w:szCs w:val="32"/>
          <w:highlight w:val="none"/>
          <w:u w:val="none"/>
          <w:lang w:val="zh-CN" w:eastAsia="zh-CN" w:bidi="ar-SA"/>
        </w:rPr>
        <w:t>（六）强化环境风险防范和应急措施。</w:t>
      </w:r>
      <w:bookmarkStart w:id="2" w:name="_GoBack"/>
      <w:bookmarkEnd w:id="2"/>
      <w:r>
        <w:rPr>
          <w:rFonts w:hint="eastAsia" w:ascii="Times New Roman" w:hAnsi="Times New Roman" w:eastAsia="仿宋_GB2312" w:cs="Times New Roman"/>
          <w:color w:val="auto"/>
          <w:kern w:val="0"/>
          <w:sz w:val="32"/>
          <w:szCs w:val="32"/>
          <w:highlight w:val="none"/>
          <w:u w:val="none"/>
          <w:lang w:val="zh-CN" w:eastAsia="zh-CN" w:bidi="ar-SA"/>
        </w:rPr>
        <w:t>按设计要求控制堆渣高度，任何情况下灰场内未覆盖区域的堆灰高度均不得高于挡灰坝坝顶；严格落实处置场截洪排洪设施，防止库内积水；严格按设计要求进行库区和边坡防渗；管理人员要加强对坝体及边坡的巡视和检查；严格落实环境风险防范与应急措施，将环境风险事故发生概率降到最低，确保环境风险可控；根据《新疆维吾尔自治区突发环境事件应急预案编制导则（试行）》（新环发</w:t>
      </w:r>
      <w:r>
        <w:rPr>
          <w:rFonts w:hint="eastAsia" w:ascii="Times New Roman" w:hAnsi="Times New Roman" w:eastAsia="仿宋_GB2312" w:cs="Times New Roman"/>
          <w:color w:val="auto"/>
          <w:kern w:val="0"/>
          <w:sz w:val="32"/>
          <w:szCs w:val="32"/>
          <w:highlight w:val="none"/>
          <w:u w:val="none"/>
          <w:lang w:val="en-US" w:eastAsia="zh-CN" w:bidi="ar-SA"/>
        </w:rPr>
        <w:t>[2014]234号要求组织修订企业突发环境事件应急预案并上报我局备案。运营期还应结合区域应急联动机制，加强应急演练</w:t>
      </w:r>
      <w:r>
        <w:rPr>
          <w:rFonts w:hint="eastAsia" w:eastAsia="仿宋_GB2312" w:cs="Times New Roman"/>
          <w:color w:val="auto"/>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eastAsia="仿宋_GB2312"/>
          <w:color w:val="auto"/>
          <w:kern w:val="0"/>
          <w:sz w:val="32"/>
          <w:szCs w:val="32"/>
          <w:highlight w:val="none"/>
          <w:u w:val="none"/>
        </w:rPr>
      </w:pPr>
      <w:r>
        <w:rPr>
          <w:rFonts w:hint="eastAsia" w:eastAsia="仿宋_GB2312"/>
          <w:color w:val="auto"/>
          <w:sz w:val="32"/>
          <w:szCs w:val="32"/>
          <w:highlight w:val="none"/>
          <w:u w:val="none"/>
          <w:lang w:eastAsia="zh-CN"/>
        </w:rPr>
        <w:t>（七）</w:t>
      </w:r>
      <w:r>
        <w:rPr>
          <w:rFonts w:hint="eastAsia" w:eastAsia="仿宋_GB2312"/>
          <w:color w:val="auto"/>
          <w:sz w:val="32"/>
          <w:szCs w:val="32"/>
          <w:highlight w:val="none"/>
          <w:u w:val="none"/>
        </w:rPr>
        <w:t>项目建设严格执行配套建设的环境保护设施与主</w:t>
      </w:r>
      <w:r>
        <w:rPr>
          <w:rFonts w:hint="eastAsia" w:eastAsia="仿宋_GB2312"/>
          <w:color w:val="auto"/>
          <w:kern w:val="0"/>
          <w:sz w:val="32"/>
          <w:szCs w:val="32"/>
          <w:highlight w:val="none"/>
          <w:u w:val="none"/>
        </w:rPr>
        <w:t>体工程同时设计、同时施工、同时投入使用的环境保护</w:t>
      </w:r>
      <w:r>
        <w:rPr>
          <w:rFonts w:eastAsia="仿宋_GB2312"/>
          <w:color w:val="auto"/>
          <w:kern w:val="0"/>
          <w:sz w:val="32"/>
          <w:szCs w:val="32"/>
          <w:highlight w:val="none"/>
          <w:u w:val="none"/>
        </w:rPr>
        <w:t>“</w:t>
      </w:r>
      <w:r>
        <w:rPr>
          <w:rFonts w:hint="eastAsia" w:eastAsia="仿宋_GB2312"/>
          <w:color w:val="auto"/>
          <w:kern w:val="0"/>
          <w:sz w:val="32"/>
          <w:szCs w:val="32"/>
          <w:highlight w:val="none"/>
          <w:u w:val="none"/>
        </w:rPr>
        <w:t>三同时</w:t>
      </w:r>
      <w:r>
        <w:rPr>
          <w:rFonts w:eastAsia="仿宋_GB2312"/>
          <w:color w:val="auto"/>
          <w:kern w:val="0"/>
          <w:sz w:val="32"/>
          <w:szCs w:val="32"/>
          <w:highlight w:val="none"/>
          <w:u w:val="none"/>
        </w:rPr>
        <w:t>”</w:t>
      </w:r>
      <w:r>
        <w:rPr>
          <w:rFonts w:hint="eastAsia" w:eastAsia="仿宋_GB2312"/>
          <w:color w:val="auto"/>
          <w:kern w:val="0"/>
          <w:sz w:val="32"/>
          <w:szCs w:val="32"/>
          <w:highlight w:val="none"/>
          <w:u w:val="none"/>
        </w:rPr>
        <w:t>制度。项目竣工后，</w:t>
      </w:r>
      <w:r>
        <w:rPr>
          <w:rFonts w:hint="eastAsia" w:eastAsia="仿宋_GB2312"/>
          <w:color w:val="auto"/>
          <w:kern w:val="0"/>
          <w:sz w:val="32"/>
          <w:szCs w:val="32"/>
          <w:highlight w:val="none"/>
          <w:u w:val="none"/>
          <w:lang w:eastAsia="zh-CN"/>
        </w:rPr>
        <w:t>污染防治措施</w:t>
      </w:r>
      <w:r>
        <w:rPr>
          <w:rFonts w:hint="eastAsia" w:eastAsia="仿宋_GB2312"/>
          <w:color w:val="auto"/>
          <w:kern w:val="0"/>
          <w:sz w:val="32"/>
          <w:szCs w:val="32"/>
          <w:highlight w:val="none"/>
          <w:u w:val="none"/>
        </w:rPr>
        <w:t>经验收合格后，方可正式投入运行。如项目的性质、规模、地点、采用的防止生态破坏措施发生重大变动，须报我局重新审批。</w:t>
      </w:r>
    </w:p>
    <w:p>
      <w:pPr>
        <w:keepNext w:val="0"/>
        <w:keepLines w:val="0"/>
        <w:pageBreakBefore w:val="0"/>
        <w:widowControl/>
        <w:kinsoku/>
        <w:wordWrap/>
        <w:overflowPunct/>
        <w:topLinePunct w:val="0"/>
        <w:bidi w:val="0"/>
        <w:adjustRightInd w:val="0"/>
        <w:snapToGrid w:val="0"/>
        <w:spacing w:line="560" w:lineRule="exact"/>
        <w:ind w:firstLine="2560" w:firstLineChars="800"/>
        <w:rPr>
          <w:rFonts w:hint="eastAsia" w:eastAsia="仿宋_GB2312"/>
          <w:color w:val="auto"/>
          <w:kern w:val="0"/>
          <w:sz w:val="32"/>
          <w:szCs w:val="32"/>
          <w:highlight w:val="none"/>
          <w:u w:val="none"/>
        </w:rPr>
      </w:pPr>
    </w:p>
    <w:p>
      <w:pPr>
        <w:keepNext w:val="0"/>
        <w:keepLines w:val="0"/>
        <w:pageBreakBefore w:val="0"/>
        <w:widowControl/>
        <w:kinsoku/>
        <w:wordWrap/>
        <w:overflowPunct/>
        <w:topLinePunct w:val="0"/>
        <w:bidi w:val="0"/>
        <w:adjustRightInd w:val="0"/>
        <w:snapToGrid w:val="0"/>
        <w:spacing w:line="560" w:lineRule="exact"/>
        <w:ind w:firstLine="2560" w:firstLineChars="800"/>
        <w:rPr>
          <w:rFonts w:hint="eastAsia" w:eastAsia="仿宋_GB2312"/>
          <w:color w:val="auto"/>
          <w:kern w:val="0"/>
          <w:sz w:val="32"/>
          <w:szCs w:val="32"/>
          <w:highlight w:val="none"/>
          <w:u w:val="none"/>
        </w:rPr>
      </w:pPr>
    </w:p>
    <w:p>
      <w:pPr>
        <w:keepNext w:val="0"/>
        <w:keepLines w:val="0"/>
        <w:pageBreakBefore w:val="0"/>
        <w:widowControl/>
        <w:kinsoku/>
        <w:wordWrap/>
        <w:overflowPunct/>
        <w:topLinePunct w:val="0"/>
        <w:bidi w:val="0"/>
        <w:adjustRightInd w:val="0"/>
        <w:snapToGrid w:val="0"/>
        <w:spacing w:line="560" w:lineRule="exact"/>
        <w:ind w:firstLine="2560" w:firstLineChars="800"/>
        <w:rPr>
          <w:rFonts w:eastAsia="仿宋_GB2312"/>
          <w:color w:val="auto"/>
          <w:kern w:val="0"/>
          <w:sz w:val="32"/>
          <w:szCs w:val="32"/>
          <w:highlight w:val="none"/>
          <w:u w:val="none"/>
        </w:rPr>
      </w:pPr>
      <w:r>
        <w:rPr>
          <w:rFonts w:hint="eastAsia" w:eastAsia="仿宋_GB2312"/>
          <w:color w:val="auto"/>
          <w:kern w:val="0"/>
          <w:sz w:val="32"/>
          <w:szCs w:val="32"/>
          <w:highlight w:val="none"/>
          <w:u w:val="none"/>
        </w:rPr>
        <w:t>新疆准东经济技术开发区环境保护局</w:t>
      </w:r>
    </w:p>
    <w:p>
      <w:pPr>
        <w:keepNext w:val="0"/>
        <w:keepLines w:val="0"/>
        <w:pageBreakBefore w:val="0"/>
        <w:widowControl/>
        <w:kinsoku/>
        <w:wordWrap/>
        <w:overflowPunct/>
        <w:topLinePunct w:val="0"/>
        <w:bidi w:val="0"/>
        <w:adjustRightInd w:val="0"/>
        <w:snapToGrid w:val="0"/>
        <w:spacing w:line="560" w:lineRule="exact"/>
        <w:ind w:firstLine="4160" w:firstLineChars="1300"/>
        <w:rPr>
          <w:rFonts w:eastAsia="仿宋_GB2312"/>
          <w:color w:val="auto"/>
          <w:kern w:val="0"/>
          <w:sz w:val="32"/>
          <w:szCs w:val="32"/>
          <w:highlight w:val="none"/>
          <w:u w:val="none"/>
        </w:rPr>
      </w:pPr>
      <w:r>
        <w:rPr>
          <w:rFonts w:eastAsia="仿宋_GB2312"/>
          <w:color w:val="auto"/>
          <w:kern w:val="0"/>
          <w:sz w:val="32"/>
          <w:szCs w:val="32"/>
          <w:highlight w:val="none"/>
          <w:u w:val="none"/>
        </w:rPr>
        <w:t>20</w:t>
      </w:r>
      <w:r>
        <w:rPr>
          <w:rFonts w:hint="eastAsia" w:eastAsia="仿宋_GB2312"/>
          <w:color w:val="auto"/>
          <w:kern w:val="0"/>
          <w:sz w:val="32"/>
          <w:szCs w:val="32"/>
          <w:highlight w:val="none"/>
          <w:u w:val="none"/>
          <w:lang w:val="en-US" w:eastAsia="zh-CN"/>
        </w:rPr>
        <w:t>22</w:t>
      </w:r>
      <w:r>
        <w:rPr>
          <w:rFonts w:hint="eastAsia" w:eastAsia="仿宋_GB2312"/>
          <w:color w:val="auto"/>
          <w:kern w:val="0"/>
          <w:sz w:val="32"/>
          <w:szCs w:val="32"/>
          <w:highlight w:val="none"/>
          <w:u w:val="none"/>
        </w:rPr>
        <w:t>年</w:t>
      </w:r>
      <w:r>
        <w:rPr>
          <w:rFonts w:hint="eastAsia" w:eastAsia="仿宋_GB2312"/>
          <w:color w:val="auto"/>
          <w:kern w:val="0"/>
          <w:sz w:val="32"/>
          <w:szCs w:val="32"/>
          <w:highlight w:val="none"/>
          <w:u w:val="none"/>
          <w:lang w:val="en-US" w:eastAsia="zh-CN"/>
        </w:rPr>
        <w:t>4</w:t>
      </w:r>
      <w:r>
        <w:rPr>
          <w:rFonts w:hint="eastAsia" w:eastAsia="仿宋_GB2312"/>
          <w:color w:val="auto"/>
          <w:kern w:val="0"/>
          <w:sz w:val="32"/>
          <w:szCs w:val="32"/>
          <w:highlight w:val="none"/>
          <w:u w:val="none"/>
        </w:rPr>
        <w:t>月</w:t>
      </w:r>
      <w:r>
        <w:rPr>
          <w:rFonts w:hint="eastAsia" w:eastAsia="仿宋_GB2312"/>
          <w:color w:val="auto"/>
          <w:kern w:val="0"/>
          <w:sz w:val="32"/>
          <w:szCs w:val="32"/>
          <w:highlight w:val="none"/>
          <w:u w:val="none"/>
          <w:lang w:val="en-US" w:eastAsia="zh-CN"/>
        </w:rPr>
        <w:t>30</w:t>
      </w:r>
      <w:r>
        <w:rPr>
          <w:rFonts w:hint="eastAsia" w:eastAsia="仿宋_GB2312"/>
          <w:color w:val="auto"/>
          <w:kern w:val="0"/>
          <w:sz w:val="32"/>
          <w:szCs w:val="32"/>
          <w:highlight w:val="none"/>
          <w:u w:val="none"/>
        </w:rPr>
        <w:t>日</w:t>
      </w:r>
    </w:p>
    <w:p>
      <w:pPr>
        <w:pStyle w:val="4"/>
        <w:rPr>
          <w:rFonts w:hint="eastAsia" w:ascii="Times New Roman" w:hAnsi="Times New Roman" w:eastAsia="仿宋_GB2312" w:cs="Times New Roman"/>
          <w:b w:val="0"/>
          <w:bCs/>
          <w:color w:val="auto"/>
          <w:sz w:val="32"/>
          <w:szCs w:val="32"/>
          <w:highlight w:val="none"/>
          <w:u w:val="none"/>
          <w:lang w:eastAsia="zh-CN"/>
        </w:rPr>
      </w:pPr>
      <w:r>
        <w:rPr>
          <w:rFonts w:hint="eastAsia" w:ascii="Times New Roman" w:hAnsi="Times New Roman" w:eastAsia="仿宋_GB2312" w:cs="Times New Roman"/>
          <w:b w:val="0"/>
          <w:bCs/>
          <w:color w:val="auto"/>
          <w:sz w:val="32"/>
          <w:szCs w:val="32"/>
          <w:highlight w:val="none"/>
          <w:u w:val="none"/>
          <w:lang w:eastAsia="zh-CN"/>
        </w:rPr>
        <w:t>此页无下文</w:t>
      </w:r>
    </w:p>
    <w:p>
      <w:pPr>
        <w:rPr>
          <w:rFonts w:hint="default" w:ascii="Times New Roman" w:hAnsi="Times New Roman" w:eastAsia="仿宋_GB2312" w:cs="Times New Roman"/>
          <w:color w:val="auto"/>
          <w:sz w:val="32"/>
          <w:szCs w:val="32"/>
          <w:highlight w:val="none"/>
          <w:u w:val="none"/>
        </w:rPr>
      </w:pPr>
    </w:p>
    <w:p>
      <w:pPr>
        <w:pStyle w:val="2"/>
        <w:rPr>
          <w:rFonts w:hint="default" w:ascii="Times New Roman" w:hAnsi="Times New Roman" w:eastAsia="仿宋_GB2312" w:cs="Times New Roman"/>
          <w:color w:val="auto"/>
          <w:sz w:val="32"/>
          <w:szCs w:val="32"/>
          <w:highlight w:val="none"/>
          <w:u w:val="none"/>
        </w:rPr>
      </w:pPr>
    </w:p>
    <w:p>
      <w:pPr>
        <w:pStyle w:val="3"/>
        <w:rPr>
          <w:rFonts w:hint="default"/>
          <w:u w:val="none"/>
        </w:rPr>
      </w:pPr>
    </w:p>
    <w:p>
      <w:pPr>
        <w:rPr>
          <w:rFonts w:hint="default" w:ascii="Times New Roman" w:hAnsi="Times New Roman" w:eastAsia="仿宋_GB2312" w:cs="Times New Roman"/>
          <w:color w:val="auto"/>
          <w:sz w:val="32"/>
          <w:szCs w:val="32"/>
          <w:highlight w:val="none"/>
          <w:u w:val="none"/>
        </w:rPr>
      </w:pPr>
    </w:p>
    <w:p>
      <w:pPr>
        <w:pStyle w:val="2"/>
        <w:rPr>
          <w:rFonts w:hint="default" w:ascii="Times New Roman" w:hAnsi="Times New Roman" w:eastAsia="仿宋_GB2312" w:cs="Times New Roman"/>
          <w:color w:val="auto"/>
          <w:sz w:val="32"/>
          <w:szCs w:val="32"/>
          <w:highlight w:val="none"/>
          <w:u w:val="none"/>
        </w:rPr>
      </w:pPr>
    </w:p>
    <w:p>
      <w:pPr>
        <w:pStyle w:val="3"/>
        <w:rPr>
          <w:rFonts w:hint="default"/>
          <w:u w:val="none"/>
        </w:rPr>
      </w:pPr>
    </w:p>
    <w:p>
      <w:pPr>
        <w:rPr>
          <w:rFonts w:hint="default" w:ascii="Times New Roman" w:hAnsi="Times New Roman" w:eastAsia="仿宋_GB2312" w:cs="Times New Roman"/>
          <w:color w:val="auto"/>
          <w:sz w:val="32"/>
          <w:szCs w:val="32"/>
          <w:highlight w:val="none"/>
          <w:u w:val="none"/>
        </w:rPr>
      </w:pPr>
    </w:p>
    <w:p>
      <w:pPr>
        <w:pStyle w:val="2"/>
        <w:rPr>
          <w:rFonts w:hint="default" w:ascii="Times New Roman" w:hAnsi="Times New Roman" w:eastAsia="仿宋_GB2312" w:cs="Times New Roman"/>
          <w:color w:val="auto"/>
          <w:sz w:val="32"/>
          <w:szCs w:val="32"/>
          <w:highlight w:val="none"/>
          <w:u w:val="none"/>
        </w:rPr>
      </w:pPr>
    </w:p>
    <w:p>
      <w:pPr>
        <w:pStyle w:val="3"/>
        <w:rPr>
          <w:rFonts w:hint="default"/>
          <w:u w:val="none"/>
        </w:rPr>
      </w:pPr>
    </w:p>
    <w:p>
      <w:pPr>
        <w:rPr>
          <w:rFonts w:hint="default" w:ascii="Times New Roman" w:hAnsi="Times New Roman" w:eastAsia="仿宋_GB2312" w:cs="Times New Roman"/>
          <w:color w:val="auto"/>
          <w:sz w:val="32"/>
          <w:szCs w:val="32"/>
          <w:highlight w:val="none"/>
          <w:u w:val="none"/>
        </w:rPr>
      </w:pPr>
    </w:p>
    <w:p>
      <w:pPr>
        <w:pStyle w:val="2"/>
        <w:rPr>
          <w:rFonts w:hint="default" w:ascii="Times New Roman" w:hAnsi="Times New Roman" w:eastAsia="仿宋_GB2312" w:cs="Times New Roman"/>
          <w:color w:val="auto"/>
          <w:sz w:val="32"/>
          <w:szCs w:val="32"/>
          <w:highlight w:val="none"/>
          <w:u w:val="none"/>
        </w:rPr>
      </w:pPr>
    </w:p>
    <w:p>
      <w:pPr>
        <w:pStyle w:val="3"/>
        <w:rPr>
          <w:rFonts w:hint="default"/>
          <w:u w:val="none"/>
        </w:rPr>
      </w:pPr>
    </w:p>
    <w:p>
      <w:pPr>
        <w:rPr>
          <w:rFonts w:hint="default" w:ascii="Times New Roman" w:hAnsi="Times New Roman" w:eastAsia="仿宋_GB2312" w:cs="Times New Roman"/>
          <w:color w:val="auto"/>
          <w:sz w:val="32"/>
          <w:szCs w:val="32"/>
          <w:highlight w:val="none"/>
          <w:u w:val="none"/>
        </w:rPr>
      </w:pPr>
    </w:p>
    <w:p>
      <w:pPr>
        <w:pStyle w:val="2"/>
        <w:rPr>
          <w:rFonts w:hint="default" w:ascii="Times New Roman" w:hAnsi="Times New Roman" w:eastAsia="仿宋_GB2312" w:cs="Times New Roman"/>
          <w:color w:val="auto"/>
          <w:sz w:val="32"/>
          <w:szCs w:val="32"/>
          <w:highlight w:val="none"/>
          <w:u w:val="none"/>
        </w:rPr>
      </w:pPr>
    </w:p>
    <w:p>
      <w:pPr>
        <w:pStyle w:val="3"/>
        <w:rPr>
          <w:rFonts w:hint="default"/>
        </w:rPr>
      </w:pPr>
    </w:p>
    <w:p>
      <w:pPr>
        <w:rPr>
          <w:rFonts w:hint="default" w:ascii="Times New Roman" w:hAnsi="Times New Roman" w:eastAsia="仿宋_GB2312" w:cs="Times New Roman"/>
          <w:color w:val="auto"/>
          <w:sz w:val="32"/>
          <w:szCs w:val="32"/>
          <w:highlight w:val="none"/>
          <w:u w:val="none"/>
        </w:rPr>
      </w:pPr>
    </w:p>
    <w:p>
      <w:pPr>
        <w:pStyle w:val="2"/>
        <w:rPr>
          <w:rFonts w:hint="default" w:ascii="Times New Roman" w:hAnsi="Times New Roman" w:eastAsia="仿宋_GB2312" w:cs="Times New Roman"/>
          <w:color w:val="auto"/>
          <w:sz w:val="32"/>
          <w:szCs w:val="32"/>
          <w:highlight w:val="none"/>
          <w:u w:val="none"/>
        </w:rPr>
      </w:pPr>
    </w:p>
    <w:p>
      <w:pPr>
        <w:pStyle w:val="3"/>
        <w:rPr>
          <w:rFonts w:hint="default"/>
        </w:rPr>
      </w:pPr>
    </w:p>
    <w:p>
      <w:pPr>
        <w:pStyle w:val="3"/>
        <w:rPr>
          <w:rFonts w:hint="default"/>
          <w:u w:val="none"/>
        </w:rPr>
      </w:pPr>
    </w:p>
    <w:p>
      <w:pPr>
        <w:rPr>
          <w:rFonts w:hint="default"/>
          <w:u w:val="none"/>
        </w:rPr>
      </w:pPr>
    </w:p>
    <w:p>
      <w:pPr>
        <w:rPr>
          <w:rFonts w:hint="default" w:ascii="Times New Roman" w:hAnsi="Times New Roman" w:eastAsia="仿宋_GB2312" w:cs="Times New Roman"/>
          <w:color w:val="auto"/>
          <w:sz w:val="32"/>
          <w:szCs w:val="32"/>
          <w:highlight w:val="none"/>
          <w:u w:val="none"/>
        </w:rPr>
      </w:pPr>
    </w:p>
    <w:p>
      <w:pPr>
        <w:pStyle w:val="5"/>
        <w:rPr>
          <w:rFonts w:hint="default"/>
          <w:color w:val="auto"/>
          <w:u w:val="none"/>
        </w:rPr>
      </w:pPr>
    </w:p>
    <w:p>
      <w:pPr>
        <w:spacing w:line="560" w:lineRule="exact"/>
        <w:ind w:left="735" w:hanging="1120" w:hangingChars="35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32pt;z-index:251659264;mso-width-relative:page;mso-height-relative:page;" filled="f" stroked="t" coordsize="21600,21600" o:gfxdata="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JWt80gAAAAQBAAAPAAAAAAAA&#10;AAEAIAAAACIAAABkcnMvZG93bnJldi54bWxQSwECFAAUAAAACACHTuJAf4crgd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w:t>抄送：昌吉州生态环境保护综合行政执法支队存档。</w:t>
      </w:r>
    </w:p>
    <w:p>
      <w:pPr>
        <w:tabs>
          <w:tab w:val="left" w:pos="360"/>
        </w:tabs>
        <w:spacing w:line="560" w:lineRule="exact"/>
        <w:ind w:right="25" w:rightChars="12"/>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328295</wp:posOffset>
                </wp:positionV>
                <wp:extent cx="5486400" cy="0"/>
                <wp:effectExtent l="0" t="0" r="0" b="0"/>
                <wp:wrapNone/>
                <wp:docPr id="1" name="直线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5.85pt;height:0pt;width:432pt;z-index:251659264;mso-width-relative:page;mso-height-relative:page;" filled="f" stroked="t" coordsize="21600,21600" o:gfxdata="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of4SnUAAAABgEAAA8AAAAAAAAAAQAgAAAAIgAA&#10;AGRycy9kb3ducmV2LnhtbFBLAQIUABQAAAAIAIdO4kDyL3r30wEAAJsDAAAOAAAAAAAAAAEAIAAA&#10;ACMBAABkcnMvZTJvRG9jLnhtbFBLBQYAAAAABgAGAFkBAABo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31115</wp:posOffset>
                </wp:positionV>
                <wp:extent cx="5486400" cy="0"/>
                <wp:effectExtent l="0" t="0" r="0" b="0"/>
                <wp:wrapNone/>
                <wp:docPr id="2" name="直线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2.45pt;height:0pt;width:432pt;z-index:251659264;mso-width-relative:page;mso-height-relative:page;" filled="f" stroked="t" coordsize="21600,21600" o:gfxdata="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74VKzSAAAABAEAAA8AAAAAAAAAAQAgAAAAIgAAAGRy&#10;cy9kb3ducmV2LnhtbFBLAQIUABQAAAAIAIdO4kBaSxB50gEAAJsDAAAOAAAAAAAAAAEAIAAAACEB&#10;AABkcnMvZTJvRG9jLnhtbFBLBQYAAAAABgAGAFkBAABl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w:t>新疆准东经济技术开发区环境保护局  202</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1CCFA"/>
    <w:multiLevelType w:val="singleLevel"/>
    <w:tmpl w:val="CDF1CCFA"/>
    <w:lvl w:ilvl="0" w:tentative="0">
      <w:start w:val="2"/>
      <w:numFmt w:val="chineseCounting"/>
      <w:suff w:val="nothing"/>
      <w:lvlText w:val="（%1）"/>
      <w:lvlJc w:val="left"/>
      <w:rPr>
        <w:rFonts w:hint="eastAsia"/>
      </w:rPr>
    </w:lvl>
  </w:abstractNum>
  <w:abstractNum w:abstractNumId="1">
    <w:nsid w:val="1B04D272"/>
    <w:multiLevelType w:val="singleLevel"/>
    <w:tmpl w:val="1B04D272"/>
    <w:lvl w:ilvl="0" w:tentative="0">
      <w:start w:val="4"/>
      <w:numFmt w:val="chineseCounting"/>
      <w:suff w:val="nothing"/>
      <w:lvlText w:val="（%1）"/>
      <w:lvlJc w:val="left"/>
      <w:rPr>
        <w:rFonts w:hint="eastAsia"/>
      </w:rPr>
    </w:lvl>
  </w:abstractNum>
  <w:abstractNum w:abstractNumId="2">
    <w:nsid w:val="442091E2"/>
    <w:multiLevelType w:val="singleLevel"/>
    <w:tmpl w:val="442091E2"/>
    <w:lvl w:ilvl="0" w:tentative="0">
      <w:start w:val="2"/>
      <w:numFmt w:val="chineseCounting"/>
      <w:suff w:val="nothing"/>
      <w:lvlText w:val="（%1）"/>
      <w:lvlJc w:val="left"/>
      <w:rPr>
        <w:rFonts w:hint="eastAsia"/>
      </w:rPr>
    </w:lvl>
  </w:abstractNum>
  <w:abstractNum w:abstractNumId="3">
    <w:nsid w:val="7D172C88"/>
    <w:multiLevelType w:val="multilevel"/>
    <w:tmpl w:val="7D172C8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pStyle w:val="3"/>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14"/>
    <w:rsid w:val="000825F0"/>
    <w:rsid w:val="000E0246"/>
    <w:rsid w:val="00160414"/>
    <w:rsid w:val="002A273E"/>
    <w:rsid w:val="003133C0"/>
    <w:rsid w:val="005065A3"/>
    <w:rsid w:val="00590420"/>
    <w:rsid w:val="00685E07"/>
    <w:rsid w:val="006B3600"/>
    <w:rsid w:val="00B806ED"/>
    <w:rsid w:val="00B87098"/>
    <w:rsid w:val="00DE45CE"/>
    <w:rsid w:val="056E7CDC"/>
    <w:rsid w:val="07116875"/>
    <w:rsid w:val="0A177892"/>
    <w:rsid w:val="0D1312F0"/>
    <w:rsid w:val="110D7987"/>
    <w:rsid w:val="11237C0B"/>
    <w:rsid w:val="117E7900"/>
    <w:rsid w:val="184134C6"/>
    <w:rsid w:val="1D71626E"/>
    <w:rsid w:val="1F1C0883"/>
    <w:rsid w:val="23841EAA"/>
    <w:rsid w:val="27566014"/>
    <w:rsid w:val="27A87B45"/>
    <w:rsid w:val="2B482EB9"/>
    <w:rsid w:val="2D4F6AB8"/>
    <w:rsid w:val="3A2F1E36"/>
    <w:rsid w:val="3D796D0B"/>
    <w:rsid w:val="40600600"/>
    <w:rsid w:val="40D6270A"/>
    <w:rsid w:val="417857ED"/>
    <w:rsid w:val="43F90DBC"/>
    <w:rsid w:val="45695094"/>
    <w:rsid w:val="4F370862"/>
    <w:rsid w:val="5022304E"/>
    <w:rsid w:val="52662EF6"/>
    <w:rsid w:val="56613358"/>
    <w:rsid w:val="5725475D"/>
    <w:rsid w:val="575E609C"/>
    <w:rsid w:val="587A4572"/>
    <w:rsid w:val="5E687F2E"/>
    <w:rsid w:val="62ED115F"/>
    <w:rsid w:val="64E8771B"/>
    <w:rsid w:val="66C46969"/>
    <w:rsid w:val="67D957CB"/>
    <w:rsid w:val="6D925C43"/>
    <w:rsid w:val="6E263140"/>
    <w:rsid w:val="73DA35B4"/>
    <w:rsid w:val="743B1CD7"/>
    <w:rsid w:val="7714322D"/>
    <w:rsid w:val="78657EDB"/>
    <w:rsid w:val="7A797B0F"/>
    <w:rsid w:val="7D970B79"/>
    <w:rsid w:val="7E33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1"/>
    <w:qFormat/>
    <w:uiPriority w:val="0"/>
    <w:pPr>
      <w:keepNext/>
      <w:keepLines/>
      <w:spacing w:before="260" w:after="260"/>
      <w:outlineLvl w:val="1"/>
    </w:pPr>
    <w:rPr>
      <w:rFonts w:ascii="Arial" w:hAnsi="Arial" w:eastAsia="Times New Roman"/>
      <w:b/>
      <w:color w:val="00B0F0"/>
      <w:sz w:val="36"/>
      <w:szCs w:val="20"/>
    </w:rPr>
  </w:style>
  <w:style w:type="paragraph" w:styleId="5">
    <w:name w:val="heading 3"/>
    <w:basedOn w:val="1"/>
    <w:next w:val="1"/>
    <w:qFormat/>
    <w:uiPriority w:val="0"/>
    <w:pPr>
      <w:adjustRightInd w:val="0"/>
      <w:spacing w:line="360" w:lineRule="auto"/>
      <w:textAlignment w:val="baseline"/>
      <w:outlineLvl w:val="2"/>
    </w:pPr>
    <w:rPr>
      <w:rFonts w:eastAsia="黑体"/>
      <w:kern w:val="2"/>
      <w:sz w:val="28"/>
      <w:lang w:val="en-US" w:eastAsia="zh-CN"/>
    </w:rPr>
  </w:style>
  <w:style w:type="paragraph" w:styleId="3">
    <w:name w:val="heading 4"/>
    <w:basedOn w:val="1"/>
    <w:next w:val="1"/>
    <w:qFormat/>
    <w:uiPriority w:val="1"/>
    <w:pPr>
      <w:keepNext/>
      <w:keepLines/>
      <w:numPr>
        <w:ilvl w:val="3"/>
        <w:numId w:val="1"/>
      </w:numPr>
      <w:snapToGrid w:val="0"/>
      <w:ind w:firstLine="0" w:firstLineChars="0"/>
      <w:jc w:val="left"/>
      <w:outlineLvl w:val="3"/>
    </w:pPr>
    <w:rPr>
      <w:b/>
      <w:kern w:val="2"/>
    </w:rPr>
  </w:style>
  <w:style w:type="character" w:default="1" w:styleId="13">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kern w:val="2"/>
      <w:sz w:val="28"/>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Body Text 21"/>
    <w:basedOn w:val="1"/>
    <w:qFormat/>
    <w:uiPriority w:val="0"/>
    <w:pPr>
      <w:spacing w:after="120" w:line="480" w:lineRule="auto"/>
    </w:pPr>
  </w:style>
  <w:style w:type="paragraph" w:styleId="8">
    <w:name w:val="Body Text Indent"/>
    <w:basedOn w:val="1"/>
    <w:next w:val="9"/>
    <w:link w:val="14"/>
    <w:semiHidden/>
    <w:unhideWhenUsed/>
    <w:qFormat/>
    <w:uiPriority w:val="99"/>
    <w:pPr>
      <w:spacing w:after="120"/>
      <w:ind w:left="420" w:leftChars="200"/>
    </w:pPr>
  </w:style>
  <w:style w:type="paragraph" w:styleId="9">
    <w:name w:val="Body Text First Indent 2"/>
    <w:basedOn w:val="8"/>
    <w:next w:val="6"/>
    <w:link w:val="15"/>
    <w:semiHidden/>
    <w:unhideWhenUsed/>
    <w:qFormat/>
    <w:uiPriority w:val="99"/>
    <w:pPr>
      <w:ind w:firstLine="420"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4">
    <w:name w:val="正文文本缩进 Char"/>
    <w:basedOn w:val="13"/>
    <w:link w:val="8"/>
    <w:semiHidden/>
    <w:qFormat/>
    <w:uiPriority w:val="99"/>
    <w:rPr>
      <w:rFonts w:ascii="Times New Roman" w:hAnsi="Times New Roman" w:eastAsia="宋体" w:cs="Times New Roman"/>
      <w:szCs w:val="20"/>
    </w:rPr>
  </w:style>
  <w:style w:type="character" w:customStyle="1" w:styleId="15">
    <w:name w:val="正文首行缩进 2 Char"/>
    <w:basedOn w:val="14"/>
    <w:link w:val="9"/>
    <w:semiHidden/>
    <w:qFormat/>
    <w:uiPriority w:val="99"/>
  </w:style>
  <w:style w:type="paragraph" w:customStyle="1" w:styleId="16">
    <w:name w:val="Default"/>
    <w:qFormat/>
    <w:uiPriority w:val="0"/>
    <w:pPr>
      <w:widowControl w:val="0"/>
      <w:autoSpaceDE w:val="0"/>
      <w:autoSpaceDN w:val="0"/>
    </w:pPr>
    <w:rPr>
      <w:rFonts w:ascii="仿宋_GB2312" w:hAnsi="仿宋_GB2312" w:eastAsia="仿宋_GB2312" w:cs="Times New Roman"/>
      <w:color w:val="000000"/>
      <w:kern w:val="0"/>
      <w:sz w:val="24"/>
      <w:szCs w:val="22"/>
      <w:lang w:val="en-US" w:eastAsia="zh-CN" w:bidi="ar-SA"/>
    </w:rPr>
  </w:style>
  <w:style w:type="paragraph" w:customStyle="1" w:styleId="17">
    <w:name w:val="样式 首行缩进:  2 字符1"/>
    <w:basedOn w:val="1"/>
    <w:qFormat/>
    <w:uiPriority w:val="0"/>
    <w:pPr>
      <w:adjustRightInd w:val="0"/>
      <w:snapToGrid w:val="0"/>
      <w:spacing w:line="360" w:lineRule="auto"/>
      <w:ind w:firstLine="480"/>
    </w:pPr>
    <w:rPr>
      <w:rFonts w:cs="宋体"/>
    </w:rPr>
  </w:style>
  <w:style w:type="paragraph" w:customStyle="1" w:styleId="18">
    <w:name w:val="Table Paragraph"/>
    <w:basedOn w:val="1"/>
    <w:qFormat/>
    <w:uiPriority w:val="1"/>
    <w:rPr>
      <w:rFonts w:ascii="宋体" w:hAnsi="宋体" w:cs="宋体"/>
      <w:lang w:val="zh-CN" w:bidi="zh-CN"/>
    </w:rPr>
  </w:style>
  <w:style w:type="paragraph" w:customStyle="1" w:styleId="19">
    <w:name w:val="表格内"/>
    <w:basedOn w:val="1"/>
    <w:qFormat/>
    <w:uiPriority w:val="0"/>
    <w:pPr>
      <w:keepNext w:val="0"/>
      <w:keepLines w:val="0"/>
      <w:widowControl/>
      <w:suppressLineNumbers w:val="0"/>
      <w:adjustRightInd w:val="0"/>
      <w:snapToGrid w:val="0"/>
      <w:spacing w:before="0" w:beforeAutospacing="0" w:after="200" w:afterAutospacing="0" w:line="360" w:lineRule="exact"/>
      <w:ind w:left="0" w:right="0" w:firstLine="720" w:firstLineChars="200"/>
      <w:jc w:val="center"/>
    </w:pPr>
    <w:rPr>
      <w:rFonts w:hint="default" w:ascii="Calibri" w:hAnsi="Calibri" w:eastAsia="微软雅黑" w:cs="Calibri"/>
      <w:kern w:val="0"/>
      <w:sz w:val="22"/>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Pages>
  <Words>2163</Words>
  <Characters>2270</Characters>
  <Lines>13</Lines>
  <Paragraphs>3</Paragraphs>
  <TotalTime>72</TotalTime>
  <ScaleCrop>false</ScaleCrop>
  <LinksUpToDate>false</LinksUpToDate>
  <CharactersWithSpaces>2272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2019-12-11T03:00:00Z</dcterms:created>
  <dc:creator>China</dc:creator>
  <cp:lastModifiedBy>肖</cp:lastModifiedBy>
  <cp:lastPrinted>2022-04-29T08:33:15Z</cp:lastPrinted>
  <dcterms:modified xsi:type="dcterms:W3CDTF">2022-04-29T08:33:29Z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541043FC0B6941378CF82EFABCC473D1</vt:lpwstr>
  </property>
</Properties>
</file>