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color w:val="auto"/>
          <w:sz w:val="32"/>
          <w:szCs w:val="32"/>
          <w:highlight w:val="none"/>
        </w:rPr>
      </w:pPr>
      <w:bookmarkStart w:id="0" w:name="OLE_LINK9"/>
      <w:bookmarkStart w:id="1" w:name="OLE_LINK1"/>
    </w:p>
    <w:p>
      <w:pPr>
        <w:pStyle w:val="14"/>
        <w:spacing w:line="560" w:lineRule="exact"/>
        <w:jc w:val="center"/>
        <w:rPr>
          <w:rFonts w:cs="仿宋_GB2312"/>
          <w:color w:val="auto"/>
          <w:sz w:val="32"/>
          <w:szCs w:val="32"/>
          <w:highlight w:val="none"/>
        </w:rPr>
      </w:pPr>
    </w:p>
    <w:p>
      <w:pPr>
        <w:pStyle w:val="14"/>
        <w:spacing w:line="560" w:lineRule="exact"/>
        <w:jc w:val="center"/>
        <w:rPr>
          <w:rFonts w:cs="仿宋_GB2312"/>
          <w:color w:val="auto"/>
          <w:sz w:val="32"/>
          <w:szCs w:val="32"/>
          <w:highlight w:val="none"/>
        </w:rPr>
      </w:pPr>
    </w:p>
    <w:p>
      <w:pPr>
        <w:pStyle w:val="14"/>
        <w:spacing w:line="560" w:lineRule="exact"/>
        <w:jc w:val="center"/>
        <w:rPr>
          <w:rFonts w:cs="仿宋_GB2312"/>
          <w:color w:val="auto"/>
          <w:sz w:val="32"/>
          <w:szCs w:val="32"/>
          <w:highlight w:val="none"/>
        </w:rPr>
      </w:pPr>
    </w:p>
    <w:p>
      <w:pPr>
        <w:pStyle w:val="14"/>
        <w:spacing w:line="560" w:lineRule="exact"/>
        <w:jc w:val="center"/>
        <w:rPr>
          <w:rFonts w:cs="仿宋_GB2312"/>
          <w:color w:val="auto"/>
          <w:sz w:val="32"/>
          <w:szCs w:val="32"/>
          <w:highlight w:val="none"/>
        </w:rPr>
      </w:pPr>
    </w:p>
    <w:p>
      <w:pPr>
        <w:pStyle w:val="14"/>
        <w:spacing w:line="560" w:lineRule="exact"/>
        <w:jc w:val="center"/>
        <w:rPr>
          <w:rFonts w:cs="仿宋_GB2312"/>
          <w:color w:val="auto"/>
          <w:sz w:val="32"/>
          <w:szCs w:val="32"/>
          <w:highlight w:val="none"/>
        </w:rPr>
      </w:pPr>
    </w:p>
    <w:p>
      <w:pPr>
        <w:pStyle w:val="14"/>
        <w:spacing w:line="560" w:lineRule="exact"/>
        <w:jc w:val="center"/>
        <w:rPr>
          <w:rFonts w:cs="仿宋_GB2312"/>
          <w:color w:val="auto"/>
          <w:sz w:val="32"/>
          <w:szCs w:val="32"/>
          <w:highlight w:val="none"/>
        </w:rPr>
      </w:pPr>
    </w:p>
    <w:p>
      <w:pPr>
        <w:spacing w:line="560" w:lineRule="exact"/>
        <w:jc w:val="center"/>
        <w:rPr>
          <w:rFonts w:eastAsia="楷体_GB2312"/>
          <w:color w:val="auto"/>
          <w:sz w:val="32"/>
          <w:szCs w:val="32"/>
          <w:highlight w:val="none"/>
        </w:rPr>
      </w:pPr>
      <w:r>
        <w:rPr>
          <w:rFonts w:hint="eastAsia" w:eastAsia="楷体_GB2312"/>
          <w:color w:val="auto"/>
          <w:sz w:val="32"/>
          <w:szCs w:val="32"/>
          <w:highlight w:val="none"/>
        </w:rPr>
        <w:t>新准环评〔</w:t>
      </w:r>
      <w:r>
        <w:rPr>
          <w:rFonts w:eastAsia="楷体_GB2312"/>
          <w:color w:val="auto"/>
          <w:sz w:val="32"/>
          <w:szCs w:val="32"/>
          <w:highlight w:val="none"/>
        </w:rPr>
        <w:t>20</w:t>
      </w:r>
      <w:r>
        <w:rPr>
          <w:rFonts w:hint="eastAsia" w:eastAsia="楷体_GB2312"/>
          <w:color w:val="auto"/>
          <w:sz w:val="32"/>
          <w:szCs w:val="32"/>
          <w:highlight w:val="none"/>
          <w:lang w:val="en-US" w:eastAsia="zh-CN"/>
        </w:rPr>
        <w:t>22</w:t>
      </w:r>
      <w:r>
        <w:rPr>
          <w:rFonts w:hint="eastAsia" w:eastAsia="楷体_GB2312"/>
          <w:color w:val="auto"/>
          <w:sz w:val="32"/>
          <w:szCs w:val="32"/>
          <w:highlight w:val="none"/>
        </w:rPr>
        <w:t>〕</w:t>
      </w:r>
      <w:r>
        <w:rPr>
          <w:rFonts w:hint="eastAsia" w:eastAsia="楷体_GB2312"/>
          <w:color w:val="auto"/>
          <w:sz w:val="32"/>
          <w:szCs w:val="32"/>
          <w:highlight w:val="none"/>
          <w:lang w:val="en-US" w:eastAsia="zh-CN"/>
        </w:rPr>
        <w:t>15</w:t>
      </w:r>
      <w:r>
        <w:rPr>
          <w:rFonts w:hint="eastAsia" w:eastAsia="楷体_GB2312"/>
          <w:color w:val="auto"/>
          <w:sz w:val="32"/>
          <w:szCs w:val="32"/>
          <w:highlight w:val="none"/>
        </w:rPr>
        <w:t>号</w:t>
      </w:r>
    </w:p>
    <w:p>
      <w:pPr>
        <w:spacing w:line="560" w:lineRule="exact"/>
        <w:jc w:val="center"/>
        <w:rPr>
          <w:rFonts w:ascii="方正小标宋简体" w:hAnsi="方正小标宋简体" w:eastAsia="方正小标宋简体" w:cs="方正小标宋简体"/>
          <w:color w:val="auto"/>
          <w:sz w:val="44"/>
          <w:szCs w:val="44"/>
          <w:highlight w:val="none"/>
        </w:rPr>
      </w:pPr>
    </w:p>
    <w:p>
      <w:pPr>
        <w:autoSpaceDE w:val="0"/>
        <w:autoSpaceDN w:val="0"/>
        <w:adjustRightInd w:val="0"/>
        <w:spacing w:line="560" w:lineRule="exact"/>
        <w:jc w:val="center"/>
        <w:rPr>
          <w:rFonts w:eastAsia="方正小标宋简体"/>
          <w:color w:val="auto"/>
          <w:sz w:val="44"/>
          <w:szCs w:val="44"/>
          <w:highlight w:val="none"/>
        </w:rPr>
      </w:pPr>
      <w:r>
        <w:rPr>
          <w:rFonts w:hint="eastAsia" w:eastAsia="方正小标宋简体"/>
          <w:color w:val="auto"/>
          <w:sz w:val="44"/>
          <w:szCs w:val="44"/>
          <w:highlight w:val="none"/>
        </w:rPr>
        <w:t>关于《昌吉芨芨湖~协鑫（协鑫工业硅）220千伏线路工程环境影响报告表》的批复</w:t>
      </w:r>
    </w:p>
    <w:p>
      <w:pPr>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p>
    <w:bookmarkEnd w:id="0"/>
    <w:bookmarkEnd w:id="1"/>
    <w:p>
      <w:pPr>
        <w:spacing w:line="560" w:lineRule="exact"/>
        <w:rPr>
          <w:rFonts w:eastAsia="仿宋_GB2312"/>
          <w:color w:val="auto"/>
          <w:sz w:val="32"/>
          <w:szCs w:val="32"/>
          <w:highlight w:val="none"/>
        </w:rPr>
      </w:pPr>
      <w:r>
        <w:rPr>
          <w:rFonts w:hint="eastAsia" w:eastAsia="仿宋_GB2312"/>
          <w:color w:val="auto"/>
          <w:sz w:val="32"/>
          <w:szCs w:val="32"/>
          <w:highlight w:val="none"/>
        </w:rPr>
        <w:t>国网新疆电力有限公司昌吉供电公司：</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你单位报送的《昌吉芨芨湖~协鑫（协鑫工业硅）220千伏线路工程环境影响报告表》（以下简称《报告表》）及申请材料已收悉。经研究，现批复如下：</w:t>
      </w:r>
    </w:p>
    <w:p>
      <w:pPr>
        <w:autoSpaceDE w:val="0"/>
        <w:autoSpaceDN w:val="0"/>
        <w:adjustRightIn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一、项目概况：本项目位于新疆准东经济技术开发区芨芨湖产业园区和西黑山产业园区内，项目线路起点位于芨芨湖750千伏变电站，坐标：N44°16′20.281″，E90°7′50.090″；终点位于协鑫工业220千伏变电站，坐标：N44°32′15.697″，E90°17′33.146″。拟</w:t>
      </w:r>
      <w:r>
        <w:rPr>
          <w:rFonts w:hint="eastAsia" w:eastAsia="仿宋_GB2312"/>
          <w:color w:val="auto"/>
          <w:sz w:val="32"/>
          <w:szCs w:val="32"/>
          <w:highlight w:val="none"/>
          <w:lang w:eastAsia="zh-CN"/>
        </w:rPr>
        <w:t>新建</w:t>
      </w:r>
      <w:r>
        <w:rPr>
          <w:rFonts w:hint="eastAsia" w:eastAsia="仿宋_GB2312"/>
          <w:color w:val="auto"/>
          <w:sz w:val="32"/>
          <w:szCs w:val="32"/>
          <w:highlight w:val="none"/>
        </w:rPr>
        <w:t>云和变～芨芨湖变断开点至协鑫工业硅变220千伏线路，单回架设，线路长约35km；利</w:t>
      </w:r>
      <w:r>
        <w:rPr>
          <w:rFonts w:hint="eastAsia" w:eastAsia="仿宋_GB2312"/>
          <w:color w:val="auto"/>
          <w:sz w:val="32"/>
          <w:szCs w:val="32"/>
          <w:highlight w:val="none"/>
          <w:lang w:eastAsia="zh-CN"/>
        </w:rPr>
        <w:t>用</w:t>
      </w:r>
      <w:r>
        <w:rPr>
          <w:rFonts w:hint="eastAsia" w:eastAsia="仿宋_GB2312"/>
          <w:color w:val="auto"/>
          <w:sz w:val="32"/>
          <w:szCs w:val="32"/>
          <w:highlight w:val="none"/>
        </w:rPr>
        <w:t>芨云和Ⅱ线</w:t>
      </w:r>
      <w:r>
        <w:rPr>
          <w:rFonts w:hint="eastAsia" w:eastAsia="仿宋_GB2312"/>
          <w:color w:val="auto"/>
          <w:sz w:val="32"/>
          <w:szCs w:val="32"/>
          <w:highlight w:val="none"/>
          <w:lang w:eastAsia="zh-CN"/>
        </w:rPr>
        <w:t>，线路</w:t>
      </w:r>
      <w:r>
        <w:rPr>
          <w:rFonts w:hint="eastAsia" w:eastAsia="仿宋_GB2312"/>
          <w:color w:val="auto"/>
          <w:sz w:val="32"/>
          <w:szCs w:val="32"/>
          <w:highlight w:val="none"/>
        </w:rPr>
        <w:t>长约13km。本项目总占地面积约为4.19hm</w:t>
      </w:r>
      <w:r>
        <w:rPr>
          <w:rFonts w:hint="eastAsia" w:eastAsia="仿宋_GB2312"/>
          <w:color w:val="auto"/>
          <w:sz w:val="32"/>
          <w:szCs w:val="32"/>
          <w:highlight w:val="none"/>
          <w:vertAlign w:val="superscript"/>
        </w:rPr>
        <w:t>2</w:t>
      </w:r>
      <w:r>
        <w:rPr>
          <w:rFonts w:hint="eastAsia" w:eastAsia="仿宋_GB2312"/>
          <w:color w:val="auto"/>
          <w:sz w:val="32"/>
          <w:szCs w:val="32"/>
          <w:highlight w:val="none"/>
        </w:rPr>
        <w:t>，其中线路工程塔基永久占地面积约为1.02hm</w:t>
      </w:r>
      <w:r>
        <w:rPr>
          <w:rFonts w:hint="eastAsia" w:eastAsia="仿宋_GB2312"/>
          <w:color w:val="auto"/>
          <w:sz w:val="32"/>
          <w:szCs w:val="32"/>
          <w:highlight w:val="none"/>
          <w:vertAlign w:val="superscript"/>
        </w:rPr>
        <w:t>2</w:t>
      </w:r>
      <w:r>
        <w:rPr>
          <w:rFonts w:hint="eastAsia" w:eastAsia="仿宋_GB2312"/>
          <w:color w:val="auto"/>
          <w:sz w:val="32"/>
          <w:szCs w:val="32"/>
          <w:highlight w:val="none"/>
        </w:rPr>
        <w:t>，线路工程施工期临时占地约为3.17hm</w:t>
      </w:r>
      <w:r>
        <w:rPr>
          <w:rFonts w:hint="eastAsia" w:eastAsia="仿宋_GB2312"/>
          <w:color w:val="auto"/>
          <w:sz w:val="32"/>
          <w:szCs w:val="32"/>
          <w:highlight w:val="none"/>
          <w:vertAlign w:val="superscript"/>
        </w:rPr>
        <w:t>2</w:t>
      </w:r>
      <w:r>
        <w:rPr>
          <w:rFonts w:hint="eastAsia" w:eastAsia="仿宋_GB2312"/>
          <w:color w:val="auto"/>
          <w:sz w:val="32"/>
          <w:szCs w:val="32"/>
          <w:highlight w:val="none"/>
        </w:rPr>
        <w:t>。本项目的总投资为5529万元，其中环保投资约69万元，占总投资额的1.25%。</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根据南京国环科技股份有限公司编制的《报告表》评价结论，我局原则同意《报告表》中所列建设项目性质、规模、地点和采取的环境保护措施。</w:t>
      </w:r>
    </w:p>
    <w:p>
      <w:pPr>
        <w:pStyle w:val="15"/>
        <w:spacing w:line="560" w:lineRule="exact"/>
        <w:ind w:firstLine="640" w:firstLineChars="200"/>
        <w:rPr>
          <w:rFonts w:eastAsia="仿宋_GB2312" w:cs="Times New Roman"/>
          <w:color w:val="auto"/>
          <w:kern w:val="0"/>
          <w:sz w:val="32"/>
          <w:szCs w:val="32"/>
          <w:highlight w:val="none"/>
        </w:rPr>
      </w:pPr>
      <w:r>
        <w:rPr>
          <w:rFonts w:hint="eastAsia" w:eastAsia="仿宋_GB2312" w:cs="Times New Roman"/>
          <w:bCs/>
          <w:color w:val="auto"/>
          <w:sz w:val="32"/>
          <w:szCs w:val="32"/>
          <w:highlight w:val="none"/>
        </w:rPr>
        <w:t>二、要求建设单位在项目建设和运营期间必须严格落实《报告表》中所提出的各项环保</w:t>
      </w:r>
      <w:bookmarkStart w:id="2" w:name="_GoBack"/>
      <w:bookmarkEnd w:id="2"/>
      <w:r>
        <w:rPr>
          <w:rFonts w:hint="eastAsia" w:eastAsia="仿宋_GB2312" w:cs="Times New Roman"/>
          <w:bCs/>
          <w:color w:val="auto"/>
          <w:sz w:val="32"/>
          <w:szCs w:val="32"/>
          <w:highlight w:val="none"/>
        </w:rPr>
        <w:t>措施，并做好以下工作：</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施工期：（一）落实大气环境保护措施：加强对施工现场和物料运输的管理，保持道路清洁，管控料堆和渣土堆放，防治扬尘污染；对易起尘的临时堆土、运输过程中的土石方等采取密闭式防尘布（网）进行苫盖，施工面集中且有条件的地方宜采取洒水降尘等有效措施，减少易造成大气污染的施工作业；对裸露地面进行覆盖；施工现场禁止将包装物、可燃垃圾等固体废弃物就地焚烧。遇大风易产生扬尘时，施工单位暂停土方开挖，采取覆盖防尘网、洒水等措施降低扬尘。</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（二）落实水环境保护措施：施工期生活污水排入移动环保公厕，施工单位定期清运至准东经济技术开发区污水处理厂处理，不外排。</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（三）落实噪声环境保护措施：避免在同一地点安排大量动力机械设备；对动力机械设备进行定期维修、养护；遵守作业规定，减少碰撞噪声，减少人为噪声；施工设备采用低噪声环保型设备。</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四）落实固废环境保护措施：施工完成后及时做好迹地清理工作；生活垃圾集中收集后运至就近的生活垃圾收集系统统一处理；包装袋由施工单位统一回收，综合利用；施工弃土用于塔基护坡或运至临近低洼处平整处理。</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（五）落实生态环境保护措施：严格控制施工范围，应尽量控制作业面，施工后期对除留作检修道路的施工便道予以土地整治，宜林宜草地段采取土地整治种草恢复植被。</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营运期：（一）落实噪声环境保护措施：优化导线特性，加强运行管理。确保输电线路运行时沿线声环境符合《声环境质量标准》(GB3096-2008)中的限值要求。</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二）落实电磁环境保护措施：制定安全操作规程，加强职工安全教育，加强电磁水平监测；对员工进行电磁辐射基础知识培训，在巡检带电维修过程中，尽可能减少暴露在电磁场中的时间；设立电磁防护安全警示标志，禁止无关人员靠近带电架构。确保输电线路运行时产生的电磁环境影响满足《电磁环境控制限值》(GB8702-2014)要求。</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三）落实生态环境保护措施：在塔基基础及杆塔等施工完毕后，应按设计要求立即对塔基基础周边开挖部分进行覆土，并进行平整夯实；施工结束后及时清理施工现场，按照相关技术要求进行临时占地的植被恢复和重建，恢复遭受破坏地段的自然</w:t>
      </w:r>
      <w:r>
        <w:rPr>
          <w:rFonts w:hint="eastAsia" w:eastAsia="仿宋_GB2312"/>
          <w:color w:val="auto"/>
          <w:sz w:val="32"/>
          <w:szCs w:val="32"/>
          <w:highlight w:val="none"/>
          <w:lang w:eastAsia="zh-CN"/>
        </w:rPr>
        <w:t>环</w:t>
      </w:r>
      <w:r>
        <w:rPr>
          <w:rFonts w:hint="eastAsia" w:eastAsia="仿宋_GB2312"/>
          <w:color w:val="auto"/>
          <w:sz w:val="32"/>
          <w:szCs w:val="32"/>
          <w:highlight w:val="none"/>
        </w:rPr>
        <w:t>境。</w:t>
      </w:r>
    </w:p>
    <w:p>
      <w:pPr>
        <w:spacing w:line="560" w:lineRule="exact"/>
        <w:ind w:firstLine="640" w:firstLineChars="200"/>
        <w:rPr>
          <w:rFonts w:eastAsia="仿宋_GB2312"/>
          <w:color w:val="auto"/>
          <w:kern w:val="0"/>
          <w:sz w:val="32"/>
          <w:szCs w:val="32"/>
          <w:highlight w:val="none"/>
        </w:rPr>
      </w:pPr>
      <w:r>
        <w:rPr>
          <w:rFonts w:hint="eastAsia" w:eastAsia="仿宋_GB2312"/>
          <w:color w:val="auto"/>
          <w:sz w:val="32"/>
          <w:szCs w:val="32"/>
          <w:highlight w:val="none"/>
        </w:rPr>
        <w:t>三、项目建设严格执行配套建设的环境保护设施与主</w:t>
      </w:r>
      <w:r>
        <w:rPr>
          <w:rFonts w:hint="eastAsia" w:eastAsia="仿宋_GB2312"/>
          <w:color w:val="auto"/>
          <w:kern w:val="0"/>
          <w:sz w:val="32"/>
          <w:szCs w:val="32"/>
          <w:highlight w:val="none"/>
        </w:rPr>
        <w:t>体工程同时设计、同时施工、同时投入使用的环境保护</w:t>
      </w:r>
      <w:r>
        <w:rPr>
          <w:rFonts w:eastAsia="仿宋_GB2312"/>
          <w:color w:val="auto"/>
          <w:kern w:val="0"/>
          <w:sz w:val="32"/>
          <w:szCs w:val="32"/>
          <w:highlight w:val="none"/>
        </w:rPr>
        <w:t>“</w:t>
      </w:r>
      <w:r>
        <w:rPr>
          <w:rFonts w:hint="eastAsia" w:eastAsia="仿宋_GB2312"/>
          <w:color w:val="auto"/>
          <w:kern w:val="0"/>
          <w:sz w:val="32"/>
          <w:szCs w:val="32"/>
          <w:highlight w:val="none"/>
        </w:rPr>
        <w:t>三同时</w:t>
      </w:r>
      <w:r>
        <w:rPr>
          <w:rFonts w:eastAsia="仿宋_GB2312"/>
          <w:color w:val="auto"/>
          <w:kern w:val="0"/>
          <w:sz w:val="32"/>
          <w:szCs w:val="32"/>
          <w:highlight w:val="none"/>
        </w:rPr>
        <w:t>”</w:t>
      </w:r>
      <w:r>
        <w:rPr>
          <w:rFonts w:hint="eastAsia" w:eastAsia="仿宋_GB2312"/>
          <w:color w:val="auto"/>
          <w:kern w:val="0"/>
          <w:sz w:val="32"/>
          <w:szCs w:val="32"/>
          <w:highlight w:val="none"/>
        </w:rPr>
        <w:t>制度。项目竣工后，</w:t>
      </w:r>
      <w:r>
        <w:rPr>
          <w:rFonts w:hint="eastAsia" w:eastAsia="仿宋_GB2312"/>
          <w:color w:val="auto"/>
          <w:kern w:val="0"/>
          <w:sz w:val="32"/>
          <w:szCs w:val="32"/>
          <w:highlight w:val="none"/>
          <w:lang w:eastAsia="zh-CN"/>
        </w:rPr>
        <w:t>污染防治措施</w:t>
      </w:r>
      <w:r>
        <w:rPr>
          <w:rFonts w:hint="eastAsia" w:eastAsia="仿宋_GB2312"/>
          <w:color w:val="auto"/>
          <w:kern w:val="0"/>
          <w:sz w:val="32"/>
          <w:szCs w:val="32"/>
          <w:highlight w:val="none"/>
        </w:rPr>
        <w:t>经验收合格后，方可正式投入运行。如项目的性质、规模、地点、采用的防止生态破坏措施发生重大变动，须报我局重新审批。自环评批复文件批准之日起，如工程满</w:t>
      </w:r>
      <w:r>
        <w:rPr>
          <w:rFonts w:eastAsia="仿宋_GB2312"/>
          <w:color w:val="auto"/>
          <w:kern w:val="0"/>
          <w:sz w:val="32"/>
          <w:szCs w:val="32"/>
          <w:highlight w:val="none"/>
        </w:rPr>
        <w:t>5</w:t>
      </w:r>
      <w:r>
        <w:rPr>
          <w:rFonts w:hint="eastAsia" w:eastAsia="仿宋_GB2312"/>
          <w:color w:val="auto"/>
          <w:kern w:val="0"/>
          <w:sz w:val="32"/>
          <w:szCs w:val="32"/>
          <w:highlight w:val="none"/>
        </w:rPr>
        <w:t>年未开工建设，环境影响评价文件应当报我局重新审</w:t>
      </w:r>
      <w:r>
        <w:rPr>
          <w:rFonts w:hint="eastAsia" w:eastAsia="仿宋_GB2312"/>
          <w:color w:val="auto"/>
          <w:kern w:val="0"/>
          <w:sz w:val="32"/>
          <w:szCs w:val="32"/>
          <w:highlight w:val="none"/>
          <w:lang w:eastAsia="zh-CN"/>
        </w:rPr>
        <w:t>批</w:t>
      </w:r>
      <w:r>
        <w:rPr>
          <w:rFonts w:hint="eastAsia" w:eastAsia="仿宋_GB2312"/>
          <w:color w:val="auto"/>
          <w:kern w:val="0"/>
          <w:sz w:val="32"/>
          <w:szCs w:val="32"/>
          <w:highlight w:val="none"/>
        </w:rPr>
        <w:t>。</w:t>
      </w:r>
    </w:p>
    <w:p>
      <w:pPr>
        <w:pStyle w:val="14"/>
        <w:spacing w:line="560" w:lineRule="exact"/>
        <w:ind w:firstLine="640" w:firstLineChars="200"/>
        <w:jc w:val="both"/>
        <w:rPr>
          <w:rFonts w:ascii="Times New Roman" w:hAnsi="Times New Roman"/>
          <w:color w:val="auto"/>
          <w:sz w:val="32"/>
          <w:szCs w:val="32"/>
          <w:highlight w:val="none"/>
        </w:rPr>
      </w:pPr>
    </w:p>
    <w:p>
      <w:pPr>
        <w:pStyle w:val="14"/>
        <w:spacing w:line="560" w:lineRule="exact"/>
        <w:ind w:firstLine="640" w:firstLineChars="200"/>
        <w:jc w:val="both"/>
        <w:rPr>
          <w:rFonts w:ascii="Times New Roman" w:hAnsi="Times New Roman"/>
          <w:color w:val="auto"/>
          <w:sz w:val="32"/>
          <w:szCs w:val="32"/>
          <w:highlight w:val="none"/>
        </w:rPr>
      </w:pPr>
    </w:p>
    <w:p>
      <w:pPr>
        <w:widowControl/>
        <w:adjustRightInd w:val="0"/>
        <w:snapToGrid w:val="0"/>
        <w:spacing w:line="560" w:lineRule="exact"/>
        <w:ind w:firstLine="2560" w:firstLineChars="800"/>
        <w:rPr>
          <w:rFonts w:eastAsia="仿宋_GB2312"/>
          <w:color w:val="auto"/>
          <w:kern w:val="0"/>
          <w:sz w:val="32"/>
          <w:szCs w:val="32"/>
          <w:highlight w:val="none"/>
        </w:rPr>
      </w:pPr>
      <w:r>
        <w:rPr>
          <w:rFonts w:hint="eastAsia" w:eastAsia="仿宋_GB2312"/>
          <w:color w:val="auto"/>
          <w:kern w:val="0"/>
          <w:sz w:val="32"/>
          <w:szCs w:val="32"/>
          <w:highlight w:val="none"/>
        </w:rPr>
        <w:t>新疆准东经济技术开发区环境保护局</w:t>
      </w:r>
    </w:p>
    <w:p>
      <w:pPr>
        <w:widowControl/>
        <w:adjustRightInd w:val="0"/>
        <w:snapToGrid w:val="0"/>
        <w:spacing w:line="560" w:lineRule="exact"/>
        <w:ind w:firstLine="4160" w:firstLineChars="1300"/>
        <w:rPr>
          <w:rFonts w:eastAsia="仿宋_GB2312"/>
          <w:color w:val="auto"/>
          <w:kern w:val="0"/>
          <w:sz w:val="32"/>
          <w:szCs w:val="32"/>
          <w:highlight w:val="none"/>
        </w:rPr>
      </w:pPr>
      <w:r>
        <w:rPr>
          <w:rFonts w:eastAsia="仿宋_GB2312"/>
          <w:color w:val="auto"/>
          <w:kern w:val="0"/>
          <w:sz w:val="32"/>
          <w:szCs w:val="32"/>
          <w:highlight w:val="none"/>
        </w:rPr>
        <w:t>20</w:t>
      </w:r>
      <w:r>
        <w:rPr>
          <w:rFonts w:hint="eastAsia" w:eastAsia="仿宋_GB2312"/>
          <w:color w:val="auto"/>
          <w:kern w:val="0"/>
          <w:sz w:val="32"/>
          <w:szCs w:val="32"/>
          <w:highlight w:val="none"/>
          <w:lang w:val="en-US" w:eastAsia="zh-CN"/>
        </w:rPr>
        <w:t>22</w:t>
      </w:r>
      <w:r>
        <w:rPr>
          <w:rFonts w:hint="eastAsia" w:eastAsia="仿宋_GB2312"/>
          <w:color w:val="auto"/>
          <w:kern w:val="0"/>
          <w:sz w:val="32"/>
          <w:szCs w:val="32"/>
          <w:highlight w:val="none"/>
        </w:rPr>
        <w:t>年</w:t>
      </w:r>
      <w:r>
        <w:rPr>
          <w:rFonts w:hint="eastAsia" w:eastAsia="仿宋_GB2312"/>
          <w:color w:val="auto"/>
          <w:kern w:val="0"/>
          <w:sz w:val="32"/>
          <w:szCs w:val="32"/>
          <w:highlight w:val="none"/>
          <w:lang w:val="en-US" w:eastAsia="zh-CN"/>
        </w:rPr>
        <w:t>4</w:t>
      </w:r>
      <w:r>
        <w:rPr>
          <w:rFonts w:hint="eastAsia" w:eastAsia="仿宋_GB2312"/>
          <w:color w:val="auto"/>
          <w:kern w:val="0"/>
          <w:sz w:val="32"/>
          <w:szCs w:val="32"/>
          <w:highlight w:val="none"/>
        </w:rPr>
        <w:t>月</w:t>
      </w:r>
      <w:r>
        <w:rPr>
          <w:rFonts w:hint="eastAsia" w:eastAsia="仿宋_GB2312"/>
          <w:color w:val="auto"/>
          <w:kern w:val="0"/>
          <w:sz w:val="32"/>
          <w:szCs w:val="32"/>
          <w:highlight w:val="none"/>
          <w:lang w:val="en-US" w:eastAsia="zh-CN"/>
        </w:rPr>
        <w:t>20</w:t>
      </w:r>
      <w:r>
        <w:rPr>
          <w:rFonts w:hint="eastAsia" w:eastAsia="仿宋_GB2312"/>
          <w:color w:val="auto"/>
          <w:kern w:val="0"/>
          <w:sz w:val="32"/>
          <w:szCs w:val="32"/>
          <w:highlight w:val="none"/>
        </w:rPr>
        <w:t>日</w:t>
      </w:r>
    </w:p>
    <w:p>
      <w:pPr>
        <w:keepNext w:val="0"/>
        <w:keepLines w:val="0"/>
        <w:pageBreakBefore w:val="0"/>
        <w:kinsoku/>
        <w:wordWrap/>
        <w:overflowPunct/>
        <w:topLinePunct w:val="0"/>
        <w:bidi w:val="0"/>
        <w:adjustRightInd/>
        <w:snapToGrid/>
        <w:spacing w:line="480" w:lineRule="auto"/>
        <w:textAlignment w:val="auto"/>
        <w:rPr>
          <w:rFonts w:hint="default" w:ascii="Times New Roman" w:hAnsi="Times New Roman" w:eastAsia="仿宋_GB2312" w:cs="Times New Roman"/>
          <w:color w:val="auto"/>
          <w:sz w:val="32"/>
          <w:szCs w:val="32"/>
          <w:highlight w:val="none"/>
        </w:rPr>
      </w:pPr>
    </w:p>
    <w:p>
      <w:pPr>
        <w:pStyle w:val="3"/>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3"/>
        <w:rPr>
          <w:rFonts w:hint="default"/>
          <w:color w:val="auto"/>
          <w:highlight w:val="none"/>
        </w:rPr>
      </w:pPr>
    </w:p>
    <w:p>
      <w:pPr>
        <w:pStyle w:val="3"/>
        <w:rPr>
          <w:rFonts w:hint="default" w:ascii="Times New Roman" w:hAnsi="Times New Roman" w:eastAsia="仿宋_GB2312" w:cs="Times New Roman"/>
          <w:color w:val="auto"/>
          <w:sz w:val="32"/>
          <w:szCs w:val="32"/>
          <w:highlight w:val="none"/>
        </w:rPr>
      </w:pPr>
    </w:p>
    <w:p>
      <w:pPr>
        <w:rPr>
          <w:rFonts w:hint="default"/>
          <w:color w:val="auto"/>
        </w:rPr>
      </w:pPr>
    </w:p>
    <w:p>
      <w:pPr>
        <w:pStyle w:val="2"/>
        <w:rPr>
          <w:rFonts w:hint="default"/>
          <w:color w:val="auto"/>
        </w:rPr>
      </w:pPr>
    </w:p>
    <w:p>
      <w:pPr>
        <w:spacing w:line="560" w:lineRule="exact"/>
        <w:ind w:left="735" w:hanging="1120" w:hangingChars="3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54864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pt;height:0pt;width:432pt;z-index:251659264;mso-width-relative:page;mso-height-relative:page;" filled="f" stroked="t" coordsize="21600,21600" o:gfxdata="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JWt80gAAAAQBAAAPAAAAAAAA&#10;AAEAIAAAACIAAABkcnMvZG93bnJldi54bWxQSwECFAAUAAAACACHTuJAf4crgd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rPr>
        <w:t>抄送：昌吉州生态环境保护综合行政执法支队存档。</w:t>
      </w:r>
    </w:p>
    <w:p>
      <w:pPr>
        <w:tabs>
          <w:tab w:val="left" w:pos="360"/>
        </w:tabs>
        <w:spacing w:line="560" w:lineRule="exact"/>
        <w:ind w:right="25" w:rightChars="1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328295</wp:posOffset>
                </wp:positionV>
                <wp:extent cx="5486400" cy="0"/>
                <wp:effectExtent l="0" t="0" r="0" b="0"/>
                <wp:wrapNone/>
                <wp:docPr id="1" name="直线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25.85pt;height:0pt;width:432pt;z-index:251659264;mso-width-relative:page;mso-height-relative:page;" filled="f" stroked="t" coordsize="21600,21600" o:gfxdata="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of4SnUAAAABgEAAA8AAAAAAAAAAQAgAAAAIgAA&#10;AGRycy9kb3ducmV2LnhtbFBLAQIUABQAAAAIAIdO4kDyL3r30wEAAJsDAAAOAAAAAAAAAAEAIAAA&#10;ACMBAABkcnMvZTJvRG9jLnhtbFBLBQYAAAAABgAGAFkBAABo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31115</wp:posOffset>
                </wp:positionV>
                <wp:extent cx="5486400" cy="0"/>
                <wp:effectExtent l="0" t="0" r="0" b="0"/>
                <wp:wrapNone/>
                <wp:docPr id="2" name="直线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2.45pt;height:0pt;width:432pt;z-index:251659264;mso-width-relative:page;mso-height-relative:page;" filled="f" stroked="t" coordsize="21600,21600" o:gfxdata="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74VKzSAAAABAEAAA8AAAAAAAAAAQAgAAAAIgAAAGRy&#10;cy9kb3ducmV2LnhtbFBLAQIUABQAAAAIAIdO4kBaSxB50gEAAJsDAAAOAAAAAAAAAAEAIAAAACEB&#10;AABkcnMvZTJvRG9jLnhtbFBLBQYAAAAABgAGAFkBAABl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32"/>
          <w:szCs w:val="32"/>
          <w:highlight w:val="none"/>
        </w:rPr>
        <w:t>新疆准东经济技术开发区环境保护局  202</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日印发</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Zka0BAABLAwAADgAAAGRycy9lMm9Eb2MueG1srVNLjhMxEN0jcQfL&#10;e+KeI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f85ZkJ5GdPr65fTtx+n7Z7Ys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BDv2ZGtAQAASwMA&#10;AA4AAAAAAAAAAQAgAAAAHgEAAGRycy9lMm9Eb2MueG1sUEsFBgAAAAAGAAYAWQEAAD0FA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14"/>
    <w:rsid w:val="000825F0"/>
    <w:rsid w:val="000E0246"/>
    <w:rsid w:val="00160414"/>
    <w:rsid w:val="002A273E"/>
    <w:rsid w:val="003133C0"/>
    <w:rsid w:val="005065A3"/>
    <w:rsid w:val="00590420"/>
    <w:rsid w:val="00685E07"/>
    <w:rsid w:val="006B3600"/>
    <w:rsid w:val="00B806ED"/>
    <w:rsid w:val="00B87098"/>
    <w:rsid w:val="00DE45CE"/>
    <w:rsid w:val="056E7CDC"/>
    <w:rsid w:val="07116875"/>
    <w:rsid w:val="0A177892"/>
    <w:rsid w:val="0D1312F0"/>
    <w:rsid w:val="11237C0B"/>
    <w:rsid w:val="1D71626E"/>
    <w:rsid w:val="23841EAA"/>
    <w:rsid w:val="27566014"/>
    <w:rsid w:val="27A87B45"/>
    <w:rsid w:val="2B482EB9"/>
    <w:rsid w:val="2D4F6AB8"/>
    <w:rsid w:val="3D796D0B"/>
    <w:rsid w:val="40600600"/>
    <w:rsid w:val="40D6270A"/>
    <w:rsid w:val="417857ED"/>
    <w:rsid w:val="43F90DBC"/>
    <w:rsid w:val="45695094"/>
    <w:rsid w:val="4F370862"/>
    <w:rsid w:val="5022304E"/>
    <w:rsid w:val="52662EF6"/>
    <w:rsid w:val="56613358"/>
    <w:rsid w:val="5725475D"/>
    <w:rsid w:val="62ED115F"/>
    <w:rsid w:val="64E8771B"/>
    <w:rsid w:val="66C46969"/>
    <w:rsid w:val="6E263140"/>
    <w:rsid w:val="743B1CD7"/>
    <w:rsid w:val="7714322D"/>
    <w:rsid w:val="78657EDB"/>
    <w:rsid w:val="7A797B0F"/>
    <w:rsid w:val="7E33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qFormat/>
    <w:uiPriority w:val="0"/>
    <w:pPr>
      <w:keepNext/>
      <w:keepLines/>
      <w:spacing w:before="260" w:after="260"/>
      <w:outlineLvl w:val="1"/>
    </w:pPr>
    <w:rPr>
      <w:rFonts w:ascii="Arial" w:hAnsi="Arial" w:eastAsia="Times New Roman"/>
      <w:b/>
      <w:color w:val="00B0F0"/>
      <w:sz w:val="36"/>
      <w:szCs w:val="20"/>
    </w:rPr>
  </w:style>
  <w:style w:type="paragraph" w:styleId="2">
    <w:name w:val="heading 3"/>
    <w:basedOn w:val="1"/>
    <w:next w:val="1"/>
    <w:qFormat/>
    <w:uiPriority w:val="0"/>
    <w:pPr>
      <w:adjustRightInd w:val="0"/>
      <w:spacing w:line="360" w:lineRule="auto"/>
      <w:textAlignment w:val="baseline"/>
      <w:outlineLvl w:val="2"/>
    </w:pPr>
    <w:rPr>
      <w:rFonts w:eastAsia="黑体"/>
      <w:kern w:val="2"/>
      <w:sz w:val="28"/>
      <w:lang w:val="en-US" w:eastAsia="zh-CN"/>
    </w:rPr>
  </w:style>
  <w:style w:type="character" w:default="1" w:styleId="11">
    <w:name w:val="Default Paragraph Font"/>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widowControl/>
      <w:snapToGrid w:val="0"/>
      <w:spacing w:before="60" w:after="160" w:line="259" w:lineRule="auto"/>
      <w:ind w:right="113"/>
    </w:pPr>
    <w:rPr>
      <w:kern w:val="0"/>
      <w:sz w:val="18"/>
      <w:szCs w:val="20"/>
    </w:rPr>
  </w:style>
  <w:style w:type="paragraph" w:customStyle="1" w:styleId="5">
    <w:name w:val="Body Text 21"/>
    <w:basedOn w:val="1"/>
    <w:qFormat/>
    <w:uiPriority w:val="0"/>
    <w:pPr>
      <w:spacing w:after="120" w:line="480" w:lineRule="auto"/>
    </w:pPr>
  </w:style>
  <w:style w:type="paragraph" w:styleId="6">
    <w:name w:val="Body Text Indent"/>
    <w:basedOn w:val="1"/>
    <w:next w:val="7"/>
    <w:link w:val="12"/>
    <w:semiHidden/>
    <w:unhideWhenUsed/>
    <w:qFormat/>
    <w:uiPriority w:val="99"/>
    <w:pPr>
      <w:spacing w:after="120"/>
      <w:ind w:left="420" w:leftChars="200"/>
    </w:pPr>
  </w:style>
  <w:style w:type="paragraph" w:styleId="7">
    <w:name w:val="Body Text First Indent 2"/>
    <w:basedOn w:val="6"/>
    <w:next w:val="4"/>
    <w:link w:val="13"/>
    <w:semiHidden/>
    <w:unhideWhenUsed/>
    <w:qFormat/>
    <w:uiPriority w:val="99"/>
    <w:pPr>
      <w:ind w:firstLine="420" w:firstLineChars="200"/>
    </w:p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正文文本缩进 Char"/>
    <w:basedOn w:val="11"/>
    <w:link w:val="6"/>
    <w:semiHidden/>
    <w:qFormat/>
    <w:uiPriority w:val="99"/>
    <w:rPr>
      <w:rFonts w:ascii="Times New Roman" w:hAnsi="Times New Roman" w:eastAsia="宋体" w:cs="Times New Roman"/>
      <w:szCs w:val="20"/>
    </w:rPr>
  </w:style>
  <w:style w:type="character" w:customStyle="1" w:styleId="13">
    <w:name w:val="正文首行缩进 2 Char"/>
    <w:basedOn w:val="12"/>
    <w:link w:val="7"/>
    <w:semiHidden/>
    <w:qFormat/>
    <w:uiPriority w:val="99"/>
  </w:style>
  <w:style w:type="paragraph" w:customStyle="1" w:styleId="14">
    <w:name w:val="Default"/>
    <w:qFormat/>
    <w:uiPriority w:val="0"/>
    <w:pPr>
      <w:widowControl w:val="0"/>
      <w:autoSpaceDE w:val="0"/>
      <w:autoSpaceDN w:val="0"/>
    </w:pPr>
    <w:rPr>
      <w:rFonts w:ascii="仿宋_GB2312" w:hAnsi="仿宋_GB2312" w:eastAsia="仿宋_GB2312" w:cs="Times New Roman"/>
      <w:color w:val="000000"/>
      <w:kern w:val="0"/>
      <w:sz w:val="24"/>
      <w:szCs w:val="22"/>
      <w:lang w:val="en-US" w:eastAsia="zh-CN" w:bidi="ar-SA"/>
    </w:rPr>
  </w:style>
  <w:style w:type="paragraph" w:customStyle="1" w:styleId="15">
    <w:name w:val="样式 首行缩进:  2 字符1"/>
    <w:basedOn w:val="1"/>
    <w:qFormat/>
    <w:uiPriority w:val="0"/>
    <w:pPr>
      <w:adjustRightInd w:val="0"/>
      <w:snapToGrid w:val="0"/>
      <w:spacing w:line="360" w:lineRule="auto"/>
      <w:ind w:firstLine="480"/>
    </w:pPr>
    <w:rPr>
      <w:rFonts w:cs="宋体"/>
    </w:rPr>
  </w:style>
  <w:style w:type="paragraph" w:customStyle="1" w:styleId="16">
    <w:name w:val="Table Paragraph"/>
    <w:basedOn w:val="1"/>
    <w:qFormat/>
    <w:uiPriority w:val="1"/>
    <w:rPr>
      <w:rFonts w:ascii="宋体" w:hAnsi="宋体" w:cs="宋体"/>
      <w:lang w:val="zh-CN" w:bidi="zh-CN"/>
    </w:rPr>
  </w:style>
  <w:style w:type="paragraph" w:customStyle="1" w:styleId="17">
    <w:name w:val="表格内"/>
    <w:basedOn w:val="1"/>
    <w:qFormat/>
    <w:uiPriority w:val="0"/>
    <w:pPr>
      <w:keepNext w:val="0"/>
      <w:keepLines w:val="0"/>
      <w:widowControl/>
      <w:suppressLineNumbers w:val="0"/>
      <w:adjustRightInd w:val="0"/>
      <w:snapToGrid w:val="0"/>
      <w:spacing w:before="0" w:beforeAutospacing="0" w:after="200" w:afterAutospacing="0" w:line="360" w:lineRule="exact"/>
      <w:ind w:left="0" w:right="0" w:firstLine="720" w:firstLineChars="200"/>
      <w:jc w:val="center"/>
    </w:pPr>
    <w:rPr>
      <w:rFonts w:hint="default" w:ascii="Calibri" w:hAnsi="Calibri" w:eastAsia="微软雅黑" w:cs="Calibri"/>
      <w:kern w:val="0"/>
      <w:sz w:val="22"/>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292</Words>
  <Characters>1671</Characters>
  <Lines>13</Lines>
  <Paragraphs>3</Paragraphs>
  <TotalTime>3</TotalTime>
  <ScaleCrop>false</ScaleCrop>
  <LinksUpToDate>false</LinksUpToDate>
  <CharactersWithSpaces>1960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2019-12-11T03:00:00Z</dcterms:created>
  <dc:creator>China</dc:creator>
  <cp:lastModifiedBy>肖</cp:lastModifiedBy>
  <cp:lastPrinted>2022-04-20T03:04:41Z</cp:lastPrinted>
  <dcterms:modified xsi:type="dcterms:W3CDTF">2022-04-20T03:17:46Z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