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仿宋_GB2312" w:eastAsia="仿宋_GB2312" w:cs="仿宋_GB2312"/>
          <w:color w:val="auto"/>
          <w:sz w:val="32"/>
          <w:szCs w:val="32"/>
          <w:highlight w:val="none"/>
        </w:rPr>
      </w:pPr>
      <w:bookmarkStart w:id="0" w:name="OLE_LINK9"/>
      <w:bookmarkStart w:id="1" w:name="OLE_LINK1"/>
    </w:p>
    <w:p>
      <w:pPr>
        <w:pStyle w:val="13"/>
        <w:spacing w:line="560" w:lineRule="exact"/>
        <w:jc w:val="center"/>
        <w:rPr>
          <w:rFonts w:cs="仿宋_GB2312"/>
          <w:color w:val="auto"/>
          <w:sz w:val="32"/>
          <w:szCs w:val="32"/>
          <w:highlight w:val="none"/>
        </w:rPr>
      </w:pPr>
    </w:p>
    <w:p>
      <w:pPr>
        <w:pStyle w:val="13"/>
        <w:spacing w:line="560" w:lineRule="exact"/>
        <w:jc w:val="center"/>
        <w:rPr>
          <w:rFonts w:cs="仿宋_GB2312"/>
          <w:color w:val="auto"/>
          <w:sz w:val="32"/>
          <w:szCs w:val="32"/>
          <w:highlight w:val="none"/>
        </w:rPr>
      </w:pPr>
    </w:p>
    <w:p>
      <w:pPr>
        <w:pStyle w:val="13"/>
        <w:spacing w:line="560" w:lineRule="exact"/>
        <w:jc w:val="center"/>
        <w:rPr>
          <w:rFonts w:cs="仿宋_GB2312"/>
          <w:color w:val="auto"/>
          <w:sz w:val="32"/>
          <w:szCs w:val="32"/>
          <w:highlight w:val="none"/>
        </w:rPr>
      </w:pPr>
    </w:p>
    <w:p>
      <w:pPr>
        <w:pStyle w:val="13"/>
        <w:spacing w:line="560" w:lineRule="exact"/>
        <w:jc w:val="center"/>
        <w:rPr>
          <w:rFonts w:cs="仿宋_GB2312"/>
          <w:color w:val="auto"/>
          <w:sz w:val="32"/>
          <w:szCs w:val="32"/>
          <w:highlight w:val="none"/>
        </w:rPr>
      </w:pPr>
    </w:p>
    <w:p>
      <w:pPr>
        <w:pStyle w:val="13"/>
        <w:spacing w:line="560" w:lineRule="exact"/>
        <w:jc w:val="center"/>
        <w:rPr>
          <w:rFonts w:cs="仿宋_GB2312"/>
          <w:color w:val="auto"/>
          <w:sz w:val="32"/>
          <w:szCs w:val="32"/>
          <w:highlight w:val="none"/>
        </w:rPr>
      </w:pPr>
    </w:p>
    <w:p>
      <w:pPr>
        <w:pStyle w:val="13"/>
        <w:spacing w:line="560" w:lineRule="exact"/>
        <w:jc w:val="center"/>
        <w:rPr>
          <w:rFonts w:cs="仿宋_GB2312"/>
          <w:color w:val="auto"/>
          <w:sz w:val="32"/>
          <w:szCs w:val="32"/>
          <w:highlight w:val="none"/>
        </w:rPr>
      </w:pPr>
    </w:p>
    <w:p>
      <w:pPr>
        <w:spacing w:line="560" w:lineRule="exact"/>
        <w:jc w:val="center"/>
        <w:rPr>
          <w:rFonts w:eastAsia="楷体_GB2312"/>
          <w:color w:val="auto"/>
          <w:sz w:val="32"/>
          <w:szCs w:val="32"/>
          <w:highlight w:val="none"/>
        </w:rPr>
      </w:pPr>
      <w:r>
        <w:rPr>
          <w:rFonts w:hint="eastAsia" w:eastAsia="楷体_GB2312"/>
          <w:color w:val="auto"/>
          <w:sz w:val="32"/>
          <w:szCs w:val="32"/>
          <w:highlight w:val="none"/>
        </w:rPr>
        <w:t>新准环评〔</w:t>
      </w:r>
      <w:r>
        <w:rPr>
          <w:rFonts w:eastAsia="楷体_GB2312"/>
          <w:color w:val="auto"/>
          <w:sz w:val="32"/>
          <w:szCs w:val="32"/>
          <w:highlight w:val="none"/>
        </w:rPr>
        <w:t>20</w:t>
      </w:r>
      <w:r>
        <w:rPr>
          <w:rFonts w:hint="eastAsia" w:eastAsia="楷体_GB2312"/>
          <w:color w:val="auto"/>
          <w:sz w:val="32"/>
          <w:szCs w:val="32"/>
          <w:highlight w:val="none"/>
          <w:lang w:val="en-US" w:eastAsia="zh-CN"/>
        </w:rPr>
        <w:t>22</w:t>
      </w:r>
      <w:r>
        <w:rPr>
          <w:rFonts w:hint="eastAsia" w:eastAsia="楷体_GB2312"/>
          <w:color w:val="auto"/>
          <w:sz w:val="32"/>
          <w:szCs w:val="32"/>
          <w:highlight w:val="none"/>
        </w:rPr>
        <w:t>〕</w:t>
      </w:r>
      <w:r>
        <w:rPr>
          <w:rFonts w:hint="eastAsia" w:eastAsia="楷体_GB2312"/>
          <w:color w:val="auto"/>
          <w:sz w:val="32"/>
          <w:szCs w:val="32"/>
          <w:highlight w:val="none"/>
          <w:lang w:val="en-US" w:eastAsia="zh-CN"/>
        </w:rPr>
        <w:t>14</w:t>
      </w:r>
      <w:r>
        <w:rPr>
          <w:rFonts w:hint="eastAsia" w:eastAsia="楷体_GB2312"/>
          <w:color w:val="auto"/>
          <w:sz w:val="32"/>
          <w:szCs w:val="32"/>
          <w:highlight w:val="none"/>
        </w:rPr>
        <w:t>号</w:t>
      </w:r>
    </w:p>
    <w:p>
      <w:pPr>
        <w:spacing w:line="560" w:lineRule="exact"/>
        <w:jc w:val="center"/>
        <w:rPr>
          <w:rFonts w:ascii="方正小标宋简体" w:hAnsi="方正小标宋简体" w:eastAsia="方正小标宋简体" w:cs="方正小标宋简体"/>
          <w:color w:val="auto"/>
          <w:sz w:val="44"/>
          <w:szCs w:val="44"/>
          <w:highlight w:val="none"/>
        </w:rPr>
      </w:pPr>
    </w:p>
    <w:p>
      <w:pPr>
        <w:autoSpaceDE w:val="0"/>
        <w:autoSpaceDN w:val="0"/>
        <w:adjustRightInd w:val="0"/>
        <w:spacing w:line="560" w:lineRule="exact"/>
        <w:jc w:val="center"/>
        <w:rPr>
          <w:rFonts w:eastAsia="方正小标宋简体"/>
          <w:color w:val="auto"/>
          <w:sz w:val="44"/>
          <w:szCs w:val="44"/>
          <w:highlight w:val="none"/>
        </w:rPr>
      </w:pPr>
      <w:bookmarkStart w:id="2" w:name="_GoBack"/>
      <w:r>
        <w:rPr>
          <w:rFonts w:hint="eastAsia" w:eastAsia="方正小标宋简体"/>
          <w:color w:val="auto"/>
          <w:sz w:val="44"/>
          <w:szCs w:val="44"/>
          <w:highlight w:val="none"/>
        </w:rPr>
        <w:t>关于《准东露天矿采场原煤运输提升系统工程建设项目环境影响报告表》的批复</w:t>
      </w:r>
    </w:p>
    <w:bookmarkEnd w:id="2"/>
    <w:p>
      <w:pPr>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rPr>
      </w:pPr>
    </w:p>
    <w:bookmarkEnd w:id="0"/>
    <w:bookmarkEnd w:id="1"/>
    <w:p>
      <w:pPr>
        <w:spacing w:line="560" w:lineRule="exact"/>
        <w:rPr>
          <w:rFonts w:eastAsia="仿宋_GB2312"/>
          <w:color w:val="auto"/>
          <w:sz w:val="32"/>
          <w:szCs w:val="32"/>
          <w:highlight w:val="none"/>
        </w:rPr>
      </w:pPr>
      <w:r>
        <w:rPr>
          <w:rFonts w:hint="eastAsia" w:eastAsia="仿宋_GB2312"/>
          <w:color w:val="auto"/>
          <w:sz w:val="32"/>
          <w:szCs w:val="32"/>
          <w:highlight w:val="none"/>
        </w:rPr>
        <w:t>国能新疆准东能源有限责任公司：</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你单位报送的《准东露天矿采场原煤运输提升系统工程建设项目环境影响报告表》（以下简称《报告表》）及申请材料已收悉。经研究，现批复如下：</w:t>
      </w:r>
    </w:p>
    <w:p>
      <w:pPr>
        <w:autoSpaceDE w:val="0"/>
        <w:autoSpaceDN w:val="0"/>
        <w:adjustRightIn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一、项目概况：项目位于新疆准东经济技术开发区国能新疆准东能源有限责任公司准东露天矿采场东帮煤层底板之上，中心地理坐标为：E89°8′44.096"，N44°49′42.257"，项目为扩建项目，拟建一级半移动式破碎站2套（5000t/h），转载站</w:t>
      </w:r>
      <w:r>
        <w:rPr>
          <w:rFonts w:hint="eastAsia" w:eastAsia="仿宋_GB2312"/>
          <w:color w:val="auto"/>
          <w:sz w:val="32"/>
          <w:szCs w:val="32"/>
          <w:highlight w:val="none"/>
          <w:lang w:val="en-US" w:eastAsia="zh-CN"/>
        </w:rPr>
        <w:t>3</w:t>
      </w:r>
      <w:r>
        <w:rPr>
          <w:rFonts w:hint="eastAsia" w:eastAsia="仿宋_GB2312"/>
          <w:color w:val="auto"/>
          <w:sz w:val="32"/>
          <w:szCs w:val="32"/>
          <w:highlight w:val="none"/>
        </w:rPr>
        <w:t>个，带式输送栈桥</w:t>
      </w:r>
      <w:r>
        <w:rPr>
          <w:rFonts w:hint="eastAsia" w:eastAsia="仿宋_GB2312"/>
          <w:color w:val="auto"/>
          <w:sz w:val="32"/>
          <w:szCs w:val="32"/>
          <w:highlight w:val="none"/>
          <w:lang w:val="en-US" w:eastAsia="zh-CN"/>
        </w:rPr>
        <w:t>3</w:t>
      </w:r>
      <w:r>
        <w:rPr>
          <w:rFonts w:hint="eastAsia" w:eastAsia="仿宋_GB2312"/>
          <w:color w:val="auto"/>
          <w:sz w:val="32"/>
          <w:szCs w:val="32"/>
          <w:highlight w:val="none"/>
        </w:rPr>
        <w:t>条(长度1</w:t>
      </w:r>
      <w:r>
        <w:rPr>
          <w:rFonts w:hint="eastAsia" w:eastAsia="仿宋_GB2312"/>
          <w:color w:val="auto"/>
          <w:sz w:val="32"/>
          <w:szCs w:val="32"/>
          <w:highlight w:val="none"/>
          <w:lang w:val="en-US" w:eastAsia="zh-CN"/>
        </w:rPr>
        <w:t>9</w:t>
      </w:r>
      <w:r>
        <w:rPr>
          <w:rFonts w:hint="eastAsia" w:eastAsia="仿宋_GB2312"/>
          <w:color w:val="auto"/>
          <w:sz w:val="32"/>
          <w:szCs w:val="32"/>
          <w:highlight w:val="none"/>
        </w:rPr>
        <w:t>60m）。配套建设驱动机房、集控系统、供水系统和配电系统等。项目总占地面积为17320㎡，总投资</w:t>
      </w:r>
      <w:r>
        <w:rPr>
          <w:rFonts w:hint="eastAsia" w:eastAsia="仿宋_GB2312"/>
          <w:color w:val="auto"/>
          <w:sz w:val="32"/>
          <w:szCs w:val="32"/>
          <w:highlight w:val="none"/>
          <w:lang w:eastAsia="zh-CN"/>
        </w:rPr>
        <w:t>约</w:t>
      </w:r>
      <w:r>
        <w:rPr>
          <w:rFonts w:hint="eastAsia" w:eastAsia="仿宋_GB2312"/>
          <w:color w:val="auto"/>
          <w:sz w:val="32"/>
          <w:szCs w:val="32"/>
          <w:highlight w:val="none"/>
        </w:rPr>
        <w:t>20584万元，其中环保投资69.5万元，占总投资的0.34%。</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根据乌鲁木齐湘永丽景环保科技有限公司编制的《报告表》评价结论，我局原则同意《报告表》中所列建设项目性质、规模、地点和采取的环境保护措施。</w:t>
      </w:r>
    </w:p>
    <w:p>
      <w:pPr>
        <w:pStyle w:val="14"/>
        <w:spacing w:line="560" w:lineRule="exact"/>
        <w:ind w:firstLine="640" w:firstLineChars="200"/>
        <w:rPr>
          <w:rFonts w:eastAsia="仿宋_GB2312" w:cs="Times New Roman"/>
          <w:color w:val="auto"/>
          <w:kern w:val="0"/>
          <w:sz w:val="32"/>
          <w:szCs w:val="32"/>
          <w:highlight w:val="none"/>
        </w:rPr>
      </w:pPr>
      <w:r>
        <w:rPr>
          <w:rFonts w:hint="eastAsia" w:eastAsia="仿宋_GB2312" w:cs="Times New Roman"/>
          <w:bCs/>
          <w:color w:val="auto"/>
          <w:sz w:val="32"/>
          <w:szCs w:val="32"/>
          <w:highlight w:val="none"/>
        </w:rPr>
        <w:t>二、要求建设单位在项目建设和运营期间必须严格落实《报告表》中所提出的各项环保措施，并做好以下工作：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施工期：（一）落实大气环境保护措施：对易产生扬尘污染的物料需采取封闭、遮盖、洒水等措施降尘。对于施工场地进行定期洒水降尘，作业面要保持一定湿度。遇大风易产生扬尘时，施工单位暂停土方开挖，采取覆盖防尘网、洒水等措施降低扬尘。施工过程中运输车辆限制车速，运输车辆加盖蓬布，严禁在运输中抛撒引起扬尘，施工现场主要道路、材料堆放场地、露天加工场地应根据用途进行硬化，适时适量洒水，同时控制车速，以减小道路扬尘对周边环境的影响。</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（二）落实废水环境保护措施：施工废水集中收集后依托现有工程矿坑水处理站处理达标后回用于矿区绿化、地面洒水降尘，不外排。生活污水依托矿区内生活污水处理系统处理，不外排。</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落实噪声环境保护措施：合理选择施工机械、施工方法，尽量选用低噪声设备，在施工过程中，经常对施工设备进行维修保养，避免由于设备性能减退而使噪声增加。保证施工期各项施工活动产生的噪声达到《建筑施工场界环境噪声排放标准》（GB12523－2011）限值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落实固废环境保护措施：施工过程中产生的建筑垃圾，如废钢筋、绑扎丝、废管材等，分类收集后堆放于指定地点，由施工方统一清运至建筑垃圾填埋场。生活垃圾集中收集，送至生活垃圾填埋场进行处置，禁止随意丢弃。</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营运期：（一）落实大气环境保护措施：生产期间确保各项环保设施正常运行，袋式输送栈桥走廊采用全封闭式结构，落料点设无动力除尘装置，转载站设超声雾化型+惯性沉降除尘系统，机头设抑尘帘、喷雾喷头；破碎站设密闭式集尘罩和除尘器、喷淋设施、移动式喷雾车。确保无组织粉尘排放浓度满足《煤炭工业污染物排放标准》（GB20426-2006）限值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（二）落实噪声环境保护措施：加强管理，文明生产，合理安排作业时间、生产工序。确保厂界噪声满足《工业企业厂界环境噪声排放标准》(GB12348-2008）限值要求。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（三）落实固废环境保护措施：项目废润滑油依托矿区危险废物暂存间暂存，定期委托有资质的单位进行处置。矿坑水处理站产生的煤泥定期清理，掺入原煤中</w:t>
      </w:r>
      <w:r>
        <w:rPr>
          <w:rFonts w:hint="eastAsia" w:eastAsia="仿宋_GB2312" w:cs="Times New Roman"/>
          <w:color w:val="auto"/>
          <w:kern w:val="0"/>
          <w:sz w:val="32"/>
          <w:szCs w:val="32"/>
          <w:lang w:eastAsia="zh-CN"/>
        </w:rPr>
        <w:t>外售。</w:t>
      </w:r>
    </w:p>
    <w:p>
      <w:pPr>
        <w:spacing w:line="560" w:lineRule="exact"/>
        <w:ind w:firstLine="640" w:firstLineChars="200"/>
        <w:rPr>
          <w:rFonts w:hint="eastAsia" w:ascii="Times New Roman" w:hAnsi="Times New Roman" w:eastAsia="仿宋_GB2312"/>
          <w:color w:val="auto"/>
          <w:sz w:val="32"/>
          <w:szCs w:val="32"/>
          <w:highlight w:val="none"/>
          <w:lang w:eastAsia="zh-CN"/>
        </w:rPr>
      </w:pPr>
      <w:r>
        <w:rPr>
          <w:rFonts w:hint="eastAsia" w:eastAsia="仿宋_GB2312"/>
          <w:color w:val="auto"/>
          <w:sz w:val="32"/>
          <w:szCs w:val="32"/>
          <w:highlight w:val="none"/>
        </w:rPr>
        <w:t>三、项目建设严格执行配套建设的环境保护设施与主</w:t>
      </w:r>
      <w:r>
        <w:rPr>
          <w:rFonts w:hint="eastAsia" w:eastAsia="仿宋_GB2312"/>
          <w:color w:val="auto"/>
          <w:kern w:val="0"/>
          <w:sz w:val="32"/>
          <w:szCs w:val="32"/>
          <w:highlight w:val="none"/>
        </w:rPr>
        <w:t>体工程同时设计、同时施工、同时投入使用的环境保护</w:t>
      </w:r>
      <w:r>
        <w:rPr>
          <w:rFonts w:eastAsia="仿宋_GB2312"/>
          <w:color w:val="auto"/>
          <w:kern w:val="0"/>
          <w:sz w:val="32"/>
          <w:szCs w:val="32"/>
          <w:highlight w:val="none"/>
        </w:rPr>
        <w:t>“</w:t>
      </w:r>
      <w:r>
        <w:rPr>
          <w:rFonts w:hint="eastAsia" w:eastAsia="仿宋_GB2312"/>
          <w:color w:val="auto"/>
          <w:kern w:val="0"/>
          <w:sz w:val="32"/>
          <w:szCs w:val="32"/>
          <w:highlight w:val="none"/>
        </w:rPr>
        <w:t>三同时</w:t>
      </w:r>
      <w:r>
        <w:rPr>
          <w:rFonts w:eastAsia="仿宋_GB2312"/>
          <w:color w:val="auto"/>
          <w:kern w:val="0"/>
          <w:sz w:val="32"/>
          <w:szCs w:val="32"/>
          <w:highlight w:val="none"/>
        </w:rPr>
        <w:t>”</w:t>
      </w:r>
      <w:r>
        <w:rPr>
          <w:rFonts w:hint="eastAsia" w:eastAsia="仿宋_GB2312"/>
          <w:color w:val="auto"/>
          <w:kern w:val="0"/>
          <w:sz w:val="32"/>
          <w:szCs w:val="32"/>
          <w:highlight w:val="none"/>
        </w:rPr>
        <w:t>制度。项目竣工后，</w:t>
      </w:r>
      <w:r>
        <w:rPr>
          <w:rFonts w:hint="eastAsia" w:eastAsia="仿宋_GB2312"/>
          <w:color w:val="auto"/>
          <w:kern w:val="0"/>
          <w:sz w:val="32"/>
          <w:szCs w:val="32"/>
          <w:highlight w:val="none"/>
          <w:lang w:eastAsia="zh-CN"/>
        </w:rPr>
        <w:t>污染防治措施</w:t>
      </w:r>
      <w:r>
        <w:rPr>
          <w:rFonts w:hint="eastAsia" w:eastAsia="仿宋_GB2312"/>
          <w:color w:val="auto"/>
          <w:kern w:val="0"/>
          <w:sz w:val="32"/>
          <w:szCs w:val="32"/>
          <w:highlight w:val="none"/>
        </w:rPr>
        <w:t>经验收合格后，方可正式投入运行。如项目的性质、规模、地点、采用的防止生态破坏措施发生重大变动，须报我局重新审批。自环评批复文件批准之日起，如工程满</w:t>
      </w:r>
      <w:r>
        <w:rPr>
          <w:rFonts w:eastAsia="仿宋_GB2312"/>
          <w:color w:val="auto"/>
          <w:kern w:val="0"/>
          <w:sz w:val="32"/>
          <w:szCs w:val="32"/>
          <w:highlight w:val="none"/>
        </w:rPr>
        <w:t>5</w:t>
      </w:r>
      <w:r>
        <w:rPr>
          <w:rFonts w:hint="eastAsia" w:eastAsia="仿宋_GB2312"/>
          <w:color w:val="auto"/>
          <w:kern w:val="0"/>
          <w:sz w:val="32"/>
          <w:szCs w:val="32"/>
          <w:highlight w:val="none"/>
        </w:rPr>
        <w:t>年未开工建设，环境影响评价文件应当报我局重新审</w:t>
      </w:r>
      <w:r>
        <w:rPr>
          <w:rFonts w:hint="eastAsia" w:eastAsia="仿宋_GB2312"/>
          <w:color w:val="auto"/>
          <w:kern w:val="0"/>
          <w:sz w:val="32"/>
          <w:szCs w:val="32"/>
          <w:highlight w:val="none"/>
          <w:lang w:eastAsia="zh-CN"/>
        </w:rPr>
        <w:t>批</w:t>
      </w:r>
      <w:r>
        <w:rPr>
          <w:rFonts w:hint="eastAsia" w:eastAsia="仿宋_GB2312"/>
          <w:color w:val="auto"/>
          <w:kern w:val="0"/>
          <w:sz w:val="32"/>
          <w:szCs w:val="32"/>
          <w:highlight w:val="none"/>
        </w:rPr>
        <w:t>。</w:t>
      </w:r>
    </w:p>
    <w:p>
      <w:pPr>
        <w:pStyle w:val="13"/>
        <w:spacing w:line="560" w:lineRule="exact"/>
        <w:ind w:firstLine="640" w:firstLineChars="200"/>
        <w:jc w:val="both"/>
        <w:rPr>
          <w:rFonts w:ascii="Times New Roman" w:hAnsi="Times New Roman"/>
          <w:color w:val="auto"/>
          <w:sz w:val="32"/>
          <w:szCs w:val="32"/>
          <w:highlight w:val="none"/>
        </w:rPr>
      </w:pPr>
    </w:p>
    <w:p>
      <w:pPr>
        <w:pStyle w:val="13"/>
        <w:spacing w:line="560" w:lineRule="exact"/>
        <w:ind w:firstLine="640" w:firstLineChars="200"/>
        <w:jc w:val="both"/>
        <w:rPr>
          <w:rFonts w:ascii="Times New Roman" w:hAnsi="Times New Roman"/>
          <w:color w:val="auto"/>
          <w:sz w:val="32"/>
          <w:szCs w:val="32"/>
          <w:highlight w:val="none"/>
        </w:rPr>
      </w:pPr>
    </w:p>
    <w:p>
      <w:pPr>
        <w:widowControl/>
        <w:adjustRightInd w:val="0"/>
        <w:snapToGrid w:val="0"/>
        <w:spacing w:line="560" w:lineRule="exact"/>
        <w:ind w:firstLine="2560" w:firstLineChars="800"/>
        <w:rPr>
          <w:rFonts w:eastAsia="仿宋_GB2312"/>
          <w:color w:val="auto"/>
          <w:kern w:val="0"/>
          <w:sz w:val="32"/>
          <w:szCs w:val="32"/>
          <w:highlight w:val="none"/>
        </w:rPr>
      </w:pPr>
      <w:r>
        <w:rPr>
          <w:rFonts w:hint="eastAsia" w:eastAsia="仿宋_GB2312"/>
          <w:color w:val="auto"/>
          <w:kern w:val="0"/>
          <w:sz w:val="32"/>
          <w:szCs w:val="32"/>
          <w:highlight w:val="none"/>
        </w:rPr>
        <w:t>新疆准东经济技术开发区环境保护局</w:t>
      </w:r>
    </w:p>
    <w:p>
      <w:pPr>
        <w:widowControl/>
        <w:adjustRightInd w:val="0"/>
        <w:snapToGrid w:val="0"/>
        <w:spacing w:line="560" w:lineRule="exact"/>
        <w:ind w:firstLine="4160" w:firstLineChars="1300"/>
        <w:rPr>
          <w:rFonts w:eastAsia="仿宋_GB2312"/>
          <w:color w:val="auto"/>
          <w:kern w:val="0"/>
          <w:sz w:val="32"/>
          <w:szCs w:val="32"/>
          <w:highlight w:val="none"/>
        </w:rPr>
      </w:pPr>
      <w:r>
        <w:rPr>
          <w:rFonts w:eastAsia="仿宋_GB2312"/>
          <w:color w:val="auto"/>
          <w:kern w:val="0"/>
          <w:sz w:val="32"/>
          <w:szCs w:val="32"/>
          <w:highlight w:val="none"/>
        </w:rPr>
        <w:t>20</w:t>
      </w:r>
      <w:r>
        <w:rPr>
          <w:rFonts w:hint="eastAsia" w:eastAsia="仿宋_GB2312"/>
          <w:color w:val="auto"/>
          <w:kern w:val="0"/>
          <w:sz w:val="32"/>
          <w:szCs w:val="32"/>
          <w:highlight w:val="none"/>
          <w:lang w:val="en-US" w:eastAsia="zh-CN"/>
        </w:rPr>
        <w:t>22</w:t>
      </w:r>
      <w:r>
        <w:rPr>
          <w:rFonts w:hint="eastAsia" w:eastAsia="仿宋_GB2312"/>
          <w:color w:val="auto"/>
          <w:kern w:val="0"/>
          <w:sz w:val="32"/>
          <w:szCs w:val="32"/>
          <w:highlight w:val="none"/>
        </w:rPr>
        <w:t>年</w:t>
      </w:r>
      <w:r>
        <w:rPr>
          <w:rFonts w:hint="eastAsia" w:eastAsia="仿宋_GB2312"/>
          <w:color w:val="auto"/>
          <w:kern w:val="0"/>
          <w:sz w:val="32"/>
          <w:szCs w:val="32"/>
          <w:highlight w:val="none"/>
          <w:lang w:val="en-US" w:eastAsia="zh-CN"/>
        </w:rPr>
        <w:t>4</w:t>
      </w:r>
      <w:r>
        <w:rPr>
          <w:rFonts w:hint="eastAsia" w:eastAsia="仿宋_GB2312"/>
          <w:color w:val="auto"/>
          <w:kern w:val="0"/>
          <w:sz w:val="32"/>
          <w:szCs w:val="32"/>
          <w:highlight w:val="none"/>
        </w:rPr>
        <w:t>月</w:t>
      </w:r>
      <w:r>
        <w:rPr>
          <w:rFonts w:hint="eastAsia" w:eastAsia="仿宋_GB2312"/>
          <w:color w:val="auto"/>
          <w:kern w:val="0"/>
          <w:sz w:val="32"/>
          <w:szCs w:val="32"/>
          <w:highlight w:val="none"/>
          <w:lang w:val="en-US" w:eastAsia="zh-CN"/>
        </w:rPr>
        <w:t>20</w:t>
      </w:r>
      <w:r>
        <w:rPr>
          <w:rFonts w:hint="eastAsia" w:eastAsia="仿宋_GB2312"/>
          <w:color w:val="auto"/>
          <w:kern w:val="0"/>
          <w:sz w:val="32"/>
          <w:szCs w:val="32"/>
          <w:highlight w:val="none"/>
        </w:rPr>
        <w:t>日</w:t>
      </w:r>
    </w:p>
    <w:p>
      <w:pPr>
        <w:keepNext w:val="0"/>
        <w:keepLines w:val="0"/>
        <w:pageBreakBefore w:val="0"/>
        <w:kinsoku/>
        <w:wordWrap/>
        <w:overflowPunct/>
        <w:topLinePunct w:val="0"/>
        <w:bidi w:val="0"/>
        <w:adjustRightInd/>
        <w:snapToGrid/>
        <w:spacing w:line="480" w:lineRule="auto"/>
        <w:textAlignment w:val="auto"/>
        <w:rPr>
          <w:rFonts w:hint="default" w:ascii="Times New Roman" w:hAnsi="Times New Roman" w:eastAsia="仿宋_GB2312" w:cs="Times New Roman"/>
          <w:color w:val="auto"/>
          <w:sz w:val="32"/>
          <w:szCs w:val="32"/>
          <w:highlight w:val="none"/>
        </w:rPr>
      </w:pPr>
    </w:p>
    <w:p>
      <w:pPr>
        <w:pStyle w:val="6"/>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pStyle w:val="6"/>
        <w:rPr>
          <w:rFonts w:hint="default"/>
          <w:color w:val="auto"/>
          <w:highlight w:val="none"/>
        </w:rPr>
      </w:pPr>
    </w:p>
    <w:p>
      <w:pPr>
        <w:keepNext w:val="0"/>
        <w:keepLines w:val="0"/>
        <w:pageBreakBefore w:val="0"/>
        <w:kinsoku/>
        <w:wordWrap/>
        <w:overflowPunct/>
        <w:topLinePunct w:val="0"/>
        <w:bidi w:val="0"/>
        <w:adjustRightInd/>
        <w:snapToGrid/>
        <w:spacing w:line="480" w:lineRule="auto"/>
        <w:textAlignment w:val="auto"/>
        <w:rPr>
          <w:rFonts w:hint="default" w:ascii="Times New Roman" w:hAnsi="Times New Roman" w:eastAsia="仿宋_GB2312" w:cs="Times New Roman"/>
          <w:color w:val="auto"/>
          <w:sz w:val="32"/>
          <w:szCs w:val="32"/>
          <w:highlight w:val="none"/>
        </w:rPr>
      </w:pPr>
    </w:p>
    <w:p>
      <w:pPr>
        <w:pStyle w:val="6"/>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pStyle w:val="4"/>
        <w:rPr>
          <w:rFonts w:hint="default" w:ascii="Times New Roman" w:hAnsi="Times New Roman" w:eastAsia="仿宋_GB2312" w:cs="Times New Roman"/>
          <w:color w:val="auto"/>
          <w:sz w:val="32"/>
          <w:szCs w:val="32"/>
          <w:highlight w:val="none"/>
        </w:rPr>
      </w:pPr>
    </w:p>
    <w:p>
      <w:pPr>
        <w:pStyle w:val="5"/>
        <w:rPr>
          <w:rFonts w:hint="default"/>
        </w:rPr>
      </w:pPr>
    </w:p>
    <w:p>
      <w:pPr>
        <w:pStyle w:val="4"/>
        <w:rPr>
          <w:rFonts w:hint="default"/>
          <w:color w:val="auto"/>
        </w:rPr>
      </w:pPr>
    </w:p>
    <w:p>
      <w:pPr>
        <w:pStyle w:val="6"/>
        <w:rPr>
          <w:rFonts w:hint="default" w:ascii="Times New Roman" w:hAnsi="Times New Roman" w:eastAsia="仿宋_GB2312" w:cs="Times New Roman"/>
          <w:color w:val="auto"/>
          <w:sz w:val="32"/>
          <w:szCs w:val="32"/>
          <w:highlight w:val="none"/>
        </w:rPr>
      </w:pPr>
    </w:p>
    <w:p>
      <w:pPr>
        <w:spacing w:line="560" w:lineRule="exact"/>
        <w:ind w:left="735" w:hanging="1120" w:hangingChars="35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39370</wp:posOffset>
                </wp:positionV>
                <wp:extent cx="54864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pt;height:0pt;width:432pt;z-index:251659264;mso-width-relative:page;mso-height-relative:page;" filled="f" stroked="t" coordsize="21600,21600" o:gfxdata="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JJWt80gAAAAQBAAAPAAAAAAAA&#10;AAEAIAAAACIAAABkcnMvZG93bnJldi54bWxQSwECFAAUAAAACACHTuJAf4crgd8BAACkAwAADgAA&#10;AAAAAAABACAAAAAh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32"/>
          <w:szCs w:val="32"/>
          <w:highlight w:val="none"/>
        </w:rPr>
        <w:t>抄送：昌吉州生态环境保护综合行政执法支队存档。</w:t>
      </w:r>
    </w:p>
    <w:p>
      <w:pPr>
        <w:tabs>
          <w:tab w:val="left" w:pos="360"/>
        </w:tabs>
        <w:spacing w:line="560" w:lineRule="exact"/>
        <w:ind w:right="25" w:rightChars="1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328295</wp:posOffset>
                </wp:positionV>
                <wp:extent cx="5486400" cy="0"/>
                <wp:effectExtent l="0" t="0" r="0" b="0"/>
                <wp:wrapNone/>
                <wp:docPr id="1" name="直线 3"/>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pt;margin-top:25.85pt;height:0pt;width:432pt;z-index:251659264;mso-width-relative:page;mso-height-relative:page;" filled="f" stroked="t" coordsize="21600,21600" o:gfxdata="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of4SnUAAAABgEAAA8AAAAAAAAAAQAgAAAAIgAA&#10;AGRycy9kb3ducmV2LnhtbFBLAQIUABQAAAAIAIdO4kDyL3r30wEAAJsDAAAOAAAAAAAAAAEAIAAA&#10;ACMBAABkcnMvZTJvRG9jLnhtbFBLBQYAAAAABgAGAFkBAABo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31115</wp:posOffset>
                </wp:positionV>
                <wp:extent cx="5486400" cy="0"/>
                <wp:effectExtent l="0" t="0" r="0" b="0"/>
                <wp:wrapNone/>
                <wp:docPr id="2" name="直线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2.45pt;height:0pt;width:432pt;z-index:251659264;mso-width-relative:page;mso-height-relative:page;" filled="f" stroked="t" coordsize="21600,21600" o:gfxdata="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&#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74VKzSAAAABAEAAA8AAAAAAAAAAQAgAAAAIgAAAGRy&#10;cy9kb3ducmV2LnhtbFBLAQIUABQAAAAIAIdO4kBaSxB50gEAAJsDAAAOAAAAAAAAAAEAIAAAACEB&#10;AABkcnMvZTJvRG9jLnhtbFBLBQYAAAAABgAGAFkBAABl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32"/>
          <w:szCs w:val="32"/>
          <w:highlight w:val="none"/>
        </w:rPr>
        <w:t>新疆准东经济技术开发区环境保护局  202</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日印发</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PAGE  \* MERGEFORMAT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Zka0BAABLAwAADgAAAGRycy9lMm9Eb2MueG1srVNLjhMxEN0jcQfL&#10;e+KeI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f85ZkJ5GdPr65fTtx+n7Z7Ys7RkTtpT1kCgvT6/iRGOe/UjOonoy4MuX9DCK&#10;U6OP1+bqKTNVHq2Wq1VDIUWx+UL44vF5AsyvdfSsGB0Hml5tqjy8xXxOnVNKtRDvrXN1gi785iDM&#10;4hGF+5ljsfK0nS6CtrE/kp6RBt/xQJvJmXsTqK9lR2YDZmM7G/sEdjfUJSr1ML3cZyJRuZUKZ9hL&#10;YZpYVXfZrrISv95r1uM/sP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BDv2ZGtAQAASwMA&#10;AA4AAAAAAAAAAQAgAAAAHgEAAGRycy9lMm9Eb2MueG1sUEsFBgAAAAAGAAYAWQEAAD0FAAAAAA==&#10;">
              <v:fill on="f" focussize="0,0"/>
              <v:stroke on="f"/>
              <v:imagedata o:title=""/>
              <o:lock v:ext="edit" aspectratio="f"/>
              <v:textbox inset="0mm,0mm,0mm,0mm" style="mso-fit-shape-to-text:t;">
                <w:txbxContent>
                  <w:p>
                    <w:pPr>
                      <w:pStyle w:val="7"/>
                      <w:rPr>
                        <w:rFonts w:hint="eastAsia" w:eastAsia="宋体"/>
                        <w:lang w:eastAsia="zh-CN"/>
                      </w:rPr>
                    </w:pP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PAGE  \* MERGEFORMAT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414"/>
    <w:rsid w:val="000825F0"/>
    <w:rsid w:val="000E0246"/>
    <w:rsid w:val="00160414"/>
    <w:rsid w:val="002A273E"/>
    <w:rsid w:val="003133C0"/>
    <w:rsid w:val="005065A3"/>
    <w:rsid w:val="00590420"/>
    <w:rsid w:val="00685E07"/>
    <w:rsid w:val="006B3600"/>
    <w:rsid w:val="00B806ED"/>
    <w:rsid w:val="00B87098"/>
    <w:rsid w:val="00DE45CE"/>
    <w:rsid w:val="047609A9"/>
    <w:rsid w:val="07116875"/>
    <w:rsid w:val="0D0125D1"/>
    <w:rsid w:val="0D1312F0"/>
    <w:rsid w:val="0F8278D0"/>
    <w:rsid w:val="1D71626E"/>
    <w:rsid w:val="23841EAA"/>
    <w:rsid w:val="26777408"/>
    <w:rsid w:val="2B482EB9"/>
    <w:rsid w:val="2D4F6AB8"/>
    <w:rsid w:val="3D796D0B"/>
    <w:rsid w:val="40600600"/>
    <w:rsid w:val="417857ED"/>
    <w:rsid w:val="43F90DBC"/>
    <w:rsid w:val="52662EF6"/>
    <w:rsid w:val="5325758E"/>
    <w:rsid w:val="5725475D"/>
    <w:rsid w:val="5FEE36CA"/>
    <w:rsid w:val="62ED115F"/>
    <w:rsid w:val="64E8771B"/>
    <w:rsid w:val="66C46969"/>
    <w:rsid w:val="6E263140"/>
    <w:rsid w:val="743B1CD7"/>
    <w:rsid w:val="78657EDB"/>
    <w:rsid w:val="7A797B0F"/>
    <w:rsid w:val="7E336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6">
    <w:name w:val="heading 2"/>
    <w:basedOn w:val="1"/>
    <w:next w:val="1"/>
    <w:qFormat/>
    <w:uiPriority w:val="0"/>
    <w:pPr>
      <w:keepNext/>
      <w:keepLines/>
      <w:spacing w:before="260" w:after="260"/>
      <w:outlineLvl w:val="1"/>
    </w:pPr>
    <w:rPr>
      <w:rFonts w:ascii="Arial" w:hAnsi="Arial" w:eastAsia="Times New Roman"/>
      <w:b/>
      <w:color w:val="00B0F0"/>
      <w:sz w:val="36"/>
      <w:szCs w:val="20"/>
    </w:rPr>
  </w:style>
  <w:style w:type="character" w:default="1" w:styleId="10">
    <w:name w:val="Default Paragraph Font"/>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link w:val="12"/>
    <w:semiHidden/>
    <w:unhideWhenUsed/>
    <w:qFormat/>
    <w:uiPriority w:val="99"/>
    <w:pPr>
      <w:ind w:firstLine="420" w:firstLineChars="200"/>
    </w:pPr>
  </w:style>
  <w:style w:type="paragraph" w:styleId="3">
    <w:name w:val="Body Text Indent"/>
    <w:basedOn w:val="1"/>
    <w:next w:val="2"/>
    <w:link w:val="11"/>
    <w:semiHidden/>
    <w:unhideWhenUsed/>
    <w:qFormat/>
    <w:uiPriority w:val="99"/>
    <w:pPr>
      <w:spacing w:after="120"/>
      <w:ind w:left="420" w:leftChars="200"/>
    </w:pPr>
  </w:style>
  <w:style w:type="paragraph" w:styleId="4">
    <w:name w:val="Body Text"/>
    <w:basedOn w:val="1"/>
    <w:next w:val="5"/>
    <w:qFormat/>
    <w:uiPriority w:val="0"/>
    <w:pPr>
      <w:widowControl/>
      <w:snapToGrid w:val="0"/>
      <w:spacing w:before="60" w:after="160" w:line="259" w:lineRule="auto"/>
      <w:ind w:right="113"/>
    </w:pPr>
    <w:rPr>
      <w:kern w:val="0"/>
      <w:sz w:val="18"/>
      <w:szCs w:val="20"/>
    </w:rPr>
  </w:style>
  <w:style w:type="paragraph" w:customStyle="1" w:styleId="5">
    <w:name w:val="Body Text 21"/>
    <w:basedOn w:val="1"/>
    <w:qFormat/>
    <w:uiPriority w:val="0"/>
    <w:pPr>
      <w:spacing w:after="120" w:line="480" w:lineRule="auto"/>
    </w:p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1">
    <w:name w:val="正文文本缩进 Char"/>
    <w:basedOn w:val="10"/>
    <w:link w:val="3"/>
    <w:semiHidden/>
    <w:qFormat/>
    <w:uiPriority w:val="99"/>
    <w:rPr>
      <w:rFonts w:ascii="Times New Roman" w:hAnsi="Times New Roman" w:eastAsia="宋体" w:cs="Times New Roman"/>
      <w:szCs w:val="20"/>
    </w:rPr>
  </w:style>
  <w:style w:type="character" w:customStyle="1" w:styleId="12">
    <w:name w:val="正文首行缩进 2 Char"/>
    <w:basedOn w:val="11"/>
    <w:link w:val="2"/>
    <w:semiHidden/>
    <w:qFormat/>
    <w:uiPriority w:val="99"/>
  </w:style>
  <w:style w:type="paragraph" w:customStyle="1" w:styleId="13">
    <w:name w:val="Default"/>
    <w:qFormat/>
    <w:uiPriority w:val="0"/>
    <w:pPr>
      <w:widowControl w:val="0"/>
      <w:autoSpaceDE w:val="0"/>
      <w:autoSpaceDN w:val="0"/>
    </w:pPr>
    <w:rPr>
      <w:rFonts w:ascii="仿宋_GB2312" w:hAnsi="仿宋_GB2312" w:eastAsia="仿宋_GB2312" w:cs="Times New Roman"/>
      <w:color w:val="000000"/>
      <w:kern w:val="0"/>
      <w:sz w:val="24"/>
      <w:szCs w:val="22"/>
      <w:lang w:val="en-US" w:eastAsia="zh-CN" w:bidi="ar-SA"/>
    </w:rPr>
  </w:style>
  <w:style w:type="paragraph" w:customStyle="1" w:styleId="14">
    <w:name w:val="样式 首行缩进:  2 字符1"/>
    <w:basedOn w:val="1"/>
    <w:qFormat/>
    <w:uiPriority w:val="0"/>
    <w:pPr>
      <w:adjustRightInd w:val="0"/>
      <w:snapToGrid w:val="0"/>
      <w:spacing w:line="360" w:lineRule="auto"/>
      <w:ind w:firstLine="480"/>
    </w:pPr>
    <w:rPr>
      <w:rFonts w:cs="宋体"/>
    </w:rPr>
  </w:style>
  <w:style w:type="paragraph" w:customStyle="1" w:styleId="15">
    <w:name w:val="Table Paragraph"/>
    <w:basedOn w:val="1"/>
    <w:qFormat/>
    <w:uiPriority w:val="1"/>
    <w:rPr>
      <w:rFonts w:ascii="宋体" w:hAnsi="宋体" w:cs="宋体"/>
      <w:lang w:val="zh-CN" w:bidi="zh-CN"/>
    </w:rPr>
  </w:style>
  <w:style w:type="paragraph" w:customStyle="1" w:styleId="16">
    <w:name w:val="表格内"/>
    <w:basedOn w:val="1"/>
    <w:qFormat/>
    <w:uiPriority w:val="0"/>
    <w:pPr>
      <w:keepNext w:val="0"/>
      <w:keepLines w:val="0"/>
      <w:widowControl/>
      <w:suppressLineNumbers w:val="0"/>
      <w:adjustRightInd w:val="0"/>
      <w:snapToGrid w:val="0"/>
      <w:spacing w:before="0" w:beforeAutospacing="0" w:after="200" w:afterAutospacing="0" w:line="360" w:lineRule="exact"/>
      <w:ind w:left="0" w:right="0" w:firstLine="720" w:firstLineChars="200"/>
      <w:jc w:val="center"/>
    </w:pPr>
    <w:rPr>
      <w:rFonts w:hint="default" w:ascii="Calibri" w:hAnsi="Calibri" w:eastAsia="微软雅黑" w:cs="Calibri"/>
      <w:kern w:val="0"/>
      <w:sz w:val="22"/>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Pages>
  <Words>292</Words>
  <Characters>1671</Characters>
  <Lines>13</Lines>
  <Paragraphs>3</Paragraphs>
  <TotalTime>17</TotalTime>
  <ScaleCrop>false</ScaleCrop>
  <LinksUpToDate>false</LinksUpToDate>
  <CharactersWithSpaces>1960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2019-12-11T03:00:00Z</dcterms:created>
  <dc:creator>China</dc:creator>
  <cp:lastModifiedBy>肖</cp:lastModifiedBy>
  <cp:lastPrinted>2022-04-20T03:04:25Z</cp:lastPrinted>
  <dcterms:modified xsi:type="dcterms:W3CDTF">2022-04-20T03:17:48Z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