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outlineLvl w:val="1"/>
        <w:rPr>
          <w:rFonts w:ascii="黑体" w:hAnsi="黑体" w:eastAsia="黑体"/>
          <w:sz w:val="32"/>
          <w:szCs w:val="32"/>
        </w:rPr>
      </w:pPr>
    </w:p>
    <w:p>
      <w:pPr>
        <w:widowControl/>
        <w:spacing w:before="100" w:beforeAutospacing="1" w:after="100" w:afterAutospacing="1"/>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准东开发区</w:t>
      </w:r>
      <w:r>
        <w:rPr>
          <w:rFonts w:hint="eastAsia" w:ascii="方正小标宋简体" w:hAnsi="方正小标宋简体" w:eastAsia="方正小标宋简体" w:cs="方正小标宋简体"/>
          <w:kern w:val="0"/>
          <w:sz w:val="44"/>
          <w:szCs w:val="44"/>
        </w:rPr>
        <w:t>2022年政府预算公开</w:t>
      </w: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
    <w:p/>
    <w:p/>
    <w:p/>
    <w:p/>
    <w:p/>
    <w:p/>
    <w:p/>
    <w:p/>
    <w:p/>
    <w:p/>
    <w:p/>
    <w:p/>
    <w:p/>
    <w:p/>
    <w:p/>
    <w:p/>
    <w:p/>
    <w:p>
      <w:pPr>
        <w:widowControl/>
        <w:spacing w:line="440" w:lineRule="exact"/>
        <w:jc w:val="center"/>
        <w:outlineLvl w:val="1"/>
        <w:rPr>
          <w:rFonts w:ascii="黑体" w:hAnsi="黑体" w:eastAsia="黑体"/>
          <w:kern w:val="0"/>
          <w:sz w:val="36"/>
          <w:szCs w:val="32"/>
          <w:lang w:eastAsia="zh-Hans"/>
        </w:rPr>
        <w:sectPr>
          <w:footerReference r:id="rId3" w:type="default"/>
          <w:pgSz w:w="11906" w:h="16838"/>
          <w:pgMar w:top="2098" w:right="1418" w:bottom="1928" w:left="1588" w:header="851" w:footer="992" w:gutter="0"/>
          <w:pgNumType w:fmt="numberInDash"/>
          <w:cols w:space="720" w:num="1"/>
          <w:docGrid w:linePitch="312" w:charSpace="0"/>
        </w:sectPr>
      </w:pPr>
    </w:p>
    <w:p>
      <w:pPr>
        <w:widowControl/>
        <w:spacing w:line="440" w:lineRule="exact"/>
        <w:jc w:val="center"/>
        <w:outlineLvl w:val="1"/>
        <w:rPr>
          <w:rFonts w:ascii="黑体" w:hAnsi="黑体" w:eastAsia="黑体"/>
          <w:kern w:val="0"/>
          <w:sz w:val="36"/>
          <w:szCs w:val="32"/>
        </w:rPr>
      </w:pPr>
      <w:r>
        <w:rPr>
          <w:rFonts w:hint="eastAsia" w:ascii="黑体" w:hAnsi="黑体" w:eastAsia="黑体"/>
          <w:kern w:val="0"/>
          <w:sz w:val="36"/>
          <w:szCs w:val="32"/>
          <w:lang w:eastAsia="zh-Hans"/>
        </w:rPr>
        <w:t>目</w:t>
      </w:r>
      <w:r>
        <w:rPr>
          <w:rFonts w:ascii="黑体" w:hAnsi="黑体" w:eastAsia="黑体"/>
          <w:kern w:val="0"/>
          <w:sz w:val="36"/>
          <w:szCs w:val="32"/>
        </w:rPr>
        <w:t>录</w:t>
      </w:r>
    </w:p>
    <w:p>
      <w:pPr>
        <w:widowControl/>
        <w:spacing w:line="360" w:lineRule="auto"/>
        <w:ind w:firstLine="643" w:firstLineChars="200"/>
        <w:outlineLvl w:val="1"/>
        <w:rPr>
          <w:rFonts w:ascii="仿宋_GB2312" w:hAnsi="宋体" w:eastAsia="仿宋_GB2312"/>
          <w:b/>
          <w:kern w:val="0"/>
          <w:sz w:val="32"/>
          <w:szCs w:val="32"/>
          <w:lang w:eastAsia="zh-Hans"/>
        </w:rPr>
      </w:pPr>
    </w:p>
    <w:p>
      <w:pPr>
        <w:widowControl/>
        <w:spacing w:line="700" w:lineRule="exact"/>
        <w:ind w:firstLine="643" w:firstLineChars="200"/>
        <w:outlineLvl w:val="1"/>
        <w:rPr>
          <w:rFonts w:ascii="仿宋_GB2312" w:hAnsi="宋体" w:eastAsia="仿宋_GB2312"/>
          <w:b/>
          <w:kern w:val="0"/>
          <w:sz w:val="32"/>
          <w:szCs w:val="32"/>
          <w:lang w:eastAsia="zh-Hans"/>
        </w:rPr>
      </w:pPr>
      <w:r>
        <w:rPr>
          <w:rFonts w:hint="eastAsia" w:ascii="仿宋_GB2312" w:hAnsi="宋体" w:eastAsia="仿宋_GB2312"/>
          <w:b/>
          <w:kern w:val="0"/>
          <w:sz w:val="32"/>
          <w:szCs w:val="32"/>
          <w:lang w:eastAsia="zh-Hans"/>
        </w:rPr>
        <w:t>第一部分</w:t>
      </w:r>
      <w:r>
        <w:rPr>
          <w:rFonts w:ascii="仿宋_GB2312" w:hAnsi="宋体" w:eastAsia="仿宋_GB2312"/>
          <w:b/>
          <w:kern w:val="0"/>
          <w:sz w:val="32"/>
          <w:szCs w:val="32"/>
          <w:lang w:eastAsia="zh-Hans"/>
        </w:rPr>
        <w:t xml:space="preserve"> </w:t>
      </w:r>
      <w:r>
        <w:rPr>
          <w:rFonts w:hint="eastAsia" w:ascii="仿宋_GB2312" w:hAnsi="宋体" w:eastAsia="仿宋_GB2312"/>
          <w:b/>
          <w:kern w:val="0"/>
          <w:sz w:val="32"/>
          <w:szCs w:val="32"/>
          <w:lang w:eastAsia="zh-Hans"/>
        </w:rPr>
        <w:t>预算草案报告</w:t>
      </w:r>
    </w:p>
    <w:p>
      <w:pPr>
        <w:widowControl/>
        <w:spacing w:line="700" w:lineRule="exact"/>
        <w:ind w:firstLine="643" w:firstLineChars="200"/>
        <w:outlineLvl w:val="1"/>
        <w:rPr>
          <w:rFonts w:ascii="仿宋_GB2312" w:hAnsi="宋体" w:eastAsia="仿宋_GB2312"/>
          <w:b/>
          <w:kern w:val="0"/>
          <w:sz w:val="32"/>
          <w:szCs w:val="32"/>
          <w:lang w:eastAsia="zh-Hans"/>
        </w:rPr>
      </w:pPr>
      <w:r>
        <w:rPr>
          <w:rFonts w:hint="eastAsia" w:ascii="仿宋_GB2312" w:hAnsi="宋体" w:eastAsia="仿宋_GB2312"/>
          <w:b/>
          <w:kern w:val="0"/>
          <w:sz w:val="32"/>
          <w:szCs w:val="32"/>
          <w:lang w:eastAsia="zh-Hans"/>
        </w:rPr>
        <w:t>第二部分</w:t>
      </w:r>
      <w:r>
        <w:rPr>
          <w:rFonts w:ascii="仿宋_GB2312" w:hAnsi="宋体" w:eastAsia="仿宋_GB2312"/>
          <w:b/>
          <w:kern w:val="0"/>
          <w:sz w:val="32"/>
          <w:szCs w:val="32"/>
          <w:lang w:eastAsia="zh-Hans"/>
        </w:rPr>
        <w:t xml:space="preserve"> </w:t>
      </w:r>
      <w:r>
        <w:rPr>
          <w:rFonts w:hint="eastAsia" w:ascii="仿宋_GB2312" w:hAnsi="宋体" w:eastAsia="仿宋_GB2312"/>
          <w:b/>
          <w:kern w:val="0"/>
          <w:sz w:val="32"/>
          <w:szCs w:val="32"/>
          <w:lang w:eastAsia="zh-Hans"/>
        </w:rPr>
        <w:t>“四本”预算公开表</w:t>
      </w:r>
    </w:p>
    <w:p>
      <w:pPr>
        <w:widowControl/>
        <w:spacing w:line="700" w:lineRule="exact"/>
        <w:ind w:firstLine="640" w:firstLineChars="200"/>
        <w:outlineLvl w:val="1"/>
        <w:rPr>
          <w:rFonts w:ascii="仿宋_GB2312" w:hAnsi="宋体" w:eastAsia="仿宋_GB2312"/>
          <w:kern w:val="0"/>
          <w:sz w:val="32"/>
          <w:szCs w:val="32"/>
          <w:lang w:eastAsia="zh-Hans"/>
        </w:rPr>
      </w:pPr>
      <w:r>
        <w:rPr>
          <w:rFonts w:hint="eastAsia" w:ascii="Times New Roman" w:hAnsi="Times New Roman" w:eastAsia="方正小标宋_GBK"/>
          <w:bCs/>
          <w:sz w:val="32"/>
          <w:lang w:eastAsia="zh-Hans"/>
        </w:rPr>
        <w:t>一</w:t>
      </w:r>
      <w:r>
        <w:rPr>
          <w:rFonts w:hint="eastAsia" w:ascii="仿宋_GB2312" w:hAnsi="宋体" w:eastAsia="仿宋_GB2312"/>
          <w:kern w:val="0"/>
          <w:sz w:val="32"/>
          <w:szCs w:val="32"/>
          <w:lang w:eastAsia="zh-Hans"/>
        </w:rPr>
        <w:t>、一般公共预算</w:t>
      </w:r>
      <w:r>
        <w:rPr>
          <w:rFonts w:hint="eastAsia" w:ascii="仿宋_GB2312" w:hAnsi="宋体" w:eastAsia="仿宋_GB2312"/>
          <w:kern w:val="0"/>
          <w:sz w:val="32"/>
          <w:szCs w:val="32"/>
        </w:rPr>
        <w:t>公开</w:t>
      </w:r>
      <w:r>
        <w:rPr>
          <w:rFonts w:hint="eastAsia" w:ascii="仿宋_GB2312" w:hAnsi="宋体" w:eastAsia="仿宋_GB2312"/>
          <w:kern w:val="0"/>
          <w:sz w:val="32"/>
          <w:szCs w:val="32"/>
          <w:lang w:eastAsia="zh-Hans"/>
        </w:rPr>
        <w:t>表</w:t>
      </w:r>
    </w:p>
    <w:p>
      <w:pPr>
        <w:widowControl/>
        <w:spacing w:line="700" w:lineRule="exact"/>
        <w:ind w:firstLine="640" w:firstLineChars="200"/>
        <w:outlineLvl w:val="1"/>
        <w:rPr>
          <w:rFonts w:ascii="仿宋_GB2312" w:hAnsi="宋体" w:eastAsia="仿宋_GB2312"/>
          <w:kern w:val="0"/>
          <w:sz w:val="32"/>
          <w:szCs w:val="32"/>
          <w:lang w:eastAsia="zh-Hans"/>
        </w:rPr>
      </w:pPr>
      <w:r>
        <w:rPr>
          <w:rFonts w:hint="eastAsia" w:ascii="仿宋_GB2312" w:hAnsi="宋体" w:eastAsia="仿宋_GB2312"/>
          <w:kern w:val="0"/>
          <w:sz w:val="32"/>
          <w:szCs w:val="32"/>
          <w:lang w:eastAsia="zh-Hans"/>
        </w:rPr>
        <w:t>二、政府性基金预算</w:t>
      </w:r>
      <w:r>
        <w:rPr>
          <w:rFonts w:hint="eastAsia" w:ascii="仿宋_GB2312" w:hAnsi="宋体" w:eastAsia="仿宋_GB2312"/>
          <w:kern w:val="0"/>
          <w:sz w:val="32"/>
          <w:szCs w:val="32"/>
        </w:rPr>
        <w:t>公开</w:t>
      </w:r>
      <w:r>
        <w:rPr>
          <w:rFonts w:hint="eastAsia" w:ascii="仿宋_GB2312" w:hAnsi="宋体" w:eastAsia="仿宋_GB2312"/>
          <w:kern w:val="0"/>
          <w:sz w:val="32"/>
          <w:szCs w:val="32"/>
          <w:lang w:eastAsia="zh-Hans"/>
        </w:rPr>
        <w:t>表</w:t>
      </w:r>
    </w:p>
    <w:p>
      <w:pPr>
        <w:widowControl/>
        <w:spacing w:line="700" w:lineRule="exact"/>
        <w:ind w:firstLine="640" w:firstLineChars="200"/>
        <w:outlineLvl w:val="1"/>
        <w:rPr>
          <w:rFonts w:ascii="仿宋_GB2312" w:hAnsi="宋体" w:eastAsia="仿宋_GB2312"/>
          <w:kern w:val="0"/>
          <w:sz w:val="32"/>
          <w:szCs w:val="32"/>
          <w:lang w:eastAsia="zh-Hans"/>
        </w:rPr>
      </w:pPr>
      <w:r>
        <w:rPr>
          <w:rFonts w:hint="eastAsia" w:ascii="仿宋_GB2312" w:hAnsi="宋体" w:eastAsia="仿宋_GB2312"/>
          <w:kern w:val="0"/>
          <w:sz w:val="32"/>
          <w:szCs w:val="32"/>
          <w:lang w:eastAsia="zh-Hans"/>
        </w:rPr>
        <w:t>三、国有资本经营预算</w:t>
      </w:r>
      <w:r>
        <w:rPr>
          <w:rFonts w:hint="eastAsia" w:ascii="仿宋_GB2312" w:hAnsi="宋体" w:eastAsia="仿宋_GB2312"/>
          <w:kern w:val="0"/>
          <w:sz w:val="32"/>
          <w:szCs w:val="32"/>
        </w:rPr>
        <w:t>公开</w:t>
      </w:r>
      <w:r>
        <w:rPr>
          <w:rFonts w:hint="eastAsia" w:ascii="仿宋_GB2312" w:hAnsi="宋体" w:eastAsia="仿宋_GB2312"/>
          <w:kern w:val="0"/>
          <w:sz w:val="32"/>
          <w:szCs w:val="32"/>
          <w:lang w:eastAsia="zh-Hans"/>
        </w:rPr>
        <w:t>表</w:t>
      </w:r>
    </w:p>
    <w:p>
      <w:pPr>
        <w:widowControl/>
        <w:spacing w:line="700" w:lineRule="exact"/>
        <w:ind w:firstLine="643" w:firstLineChars="200"/>
        <w:outlineLvl w:val="1"/>
        <w:rPr>
          <w:rFonts w:ascii="仿宋_GB2312" w:hAnsi="宋体" w:eastAsia="仿宋_GB2312"/>
          <w:b/>
          <w:kern w:val="0"/>
          <w:sz w:val="32"/>
          <w:szCs w:val="32"/>
          <w:lang w:eastAsia="zh-Hans"/>
        </w:rPr>
      </w:pPr>
      <w:r>
        <w:rPr>
          <w:rFonts w:hint="eastAsia" w:ascii="仿宋_GB2312" w:hAnsi="宋体" w:eastAsia="仿宋_GB2312"/>
          <w:b/>
          <w:kern w:val="0"/>
          <w:sz w:val="32"/>
          <w:szCs w:val="32"/>
          <w:lang w:eastAsia="zh-Hans"/>
        </w:rPr>
        <w:t>第三部分</w:t>
      </w:r>
      <w:r>
        <w:rPr>
          <w:rFonts w:ascii="仿宋_GB2312" w:hAnsi="宋体" w:eastAsia="仿宋_GB2312"/>
          <w:b/>
          <w:kern w:val="0"/>
          <w:sz w:val="32"/>
          <w:szCs w:val="32"/>
          <w:lang w:eastAsia="zh-Hans"/>
        </w:rPr>
        <w:t xml:space="preserve"> </w:t>
      </w:r>
      <w:r>
        <w:rPr>
          <w:rFonts w:hint="eastAsia" w:ascii="仿宋_GB2312" w:hAnsi="宋体" w:eastAsia="仿宋_GB2312"/>
          <w:b/>
          <w:kern w:val="0"/>
          <w:sz w:val="32"/>
          <w:szCs w:val="32"/>
          <w:lang w:eastAsia="zh-Hans"/>
        </w:rPr>
        <w:t>本级汇总的一般公共预算“三公”经费预算安排情况说明</w:t>
      </w:r>
    </w:p>
    <w:p>
      <w:pPr>
        <w:widowControl/>
        <w:spacing w:line="700" w:lineRule="exact"/>
        <w:ind w:firstLine="643" w:firstLineChars="200"/>
        <w:outlineLvl w:val="1"/>
        <w:rPr>
          <w:rFonts w:hint="eastAsia" w:ascii="仿宋_GB2312" w:hAnsi="宋体" w:eastAsia="仿宋_GB2312"/>
          <w:b/>
          <w:kern w:val="0"/>
          <w:sz w:val="32"/>
          <w:szCs w:val="32"/>
          <w:lang w:eastAsia="zh-Hans"/>
        </w:rPr>
      </w:pPr>
      <w:r>
        <w:rPr>
          <w:rFonts w:hint="eastAsia" w:ascii="仿宋_GB2312" w:hAnsi="宋体" w:eastAsia="仿宋_GB2312"/>
          <w:b/>
          <w:kern w:val="0"/>
          <w:sz w:val="32"/>
          <w:szCs w:val="32"/>
          <w:lang w:eastAsia="zh-Hans"/>
        </w:rPr>
        <w:t>第四部分  转移支付安排情况说明</w:t>
      </w:r>
    </w:p>
    <w:p>
      <w:pPr>
        <w:widowControl/>
        <w:spacing w:line="700" w:lineRule="exact"/>
        <w:ind w:firstLine="643" w:firstLineChars="200"/>
        <w:outlineLvl w:val="1"/>
        <w:rPr>
          <w:rFonts w:ascii="仿宋_GB2312" w:hAnsi="宋体" w:eastAsia="仿宋_GB2312"/>
          <w:b/>
          <w:kern w:val="0"/>
          <w:sz w:val="32"/>
          <w:szCs w:val="32"/>
          <w:lang w:eastAsia="zh-Hans"/>
        </w:rPr>
      </w:pPr>
      <w:r>
        <w:rPr>
          <w:rFonts w:hint="eastAsia" w:ascii="仿宋_GB2312" w:hAnsi="宋体" w:eastAsia="仿宋_GB2312"/>
          <w:b/>
          <w:kern w:val="0"/>
          <w:sz w:val="32"/>
          <w:szCs w:val="32"/>
          <w:lang w:eastAsia="zh-Hans"/>
        </w:rPr>
        <w:t>第</w:t>
      </w:r>
      <w:r>
        <w:rPr>
          <w:rFonts w:hint="eastAsia" w:ascii="仿宋_GB2312" w:hAnsi="宋体" w:eastAsia="仿宋_GB2312"/>
          <w:b/>
          <w:kern w:val="0"/>
          <w:sz w:val="32"/>
          <w:szCs w:val="32"/>
          <w:lang w:eastAsia="zh-CN"/>
        </w:rPr>
        <w:t>五</w:t>
      </w:r>
      <w:r>
        <w:rPr>
          <w:rFonts w:hint="eastAsia" w:ascii="仿宋_GB2312" w:hAnsi="宋体" w:eastAsia="仿宋_GB2312"/>
          <w:b/>
          <w:kern w:val="0"/>
          <w:sz w:val="32"/>
          <w:szCs w:val="32"/>
          <w:lang w:eastAsia="zh-Hans"/>
        </w:rPr>
        <w:t>部分</w:t>
      </w:r>
      <w:r>
        <w:rPr>
          <w:rFonts w:ascii="仿宋_GB2312" w:hAnsi="宋体" w:eastAsia="仿宋_GB2312"/>
          <w:b/>
          <w:kern w:val="0"/>
          <w:sz w:val="32"/>
          <w:szCs w:val="32"/>
          <w:lang w:eastAsia="zh-Hans"/>
        </w:rPr>
        <w:t xml:space="preserve"> </w:t>
      </w:r>
      <w:r>
        <w:rPr>
          <w:rFonts w:hint="eastAsia" w:ascii="仿宋_GB2312" w:hAnsi="宋体" w:eastAsia="仿宋_GB2312"/>
          <w:b/>
          <w:kern w:val="0"/>
          <w:sz w:val="32"/>
          <w:szCs w:val="32"/>
          <w:lang w:eastAsia="zh-Hans"/>
        </w:rPr>
        <w:t>地方政府债务公开情况说明</w:t>
      </w:r>
    </w:p>
    <w:p>
      <w:pPr>
        <w:widowControl/>
        <w:spacing w:line="700" w:lineRule="exact"/>
        <w:ind w:firstLine="643" w:firstLineChars="200"/>
        <w:outlineLvl w:val="1"/>
        <w:rPr>
          <w:rFonts w:ascii="仿宋_GB2312" w:hAnsi="宋体" w:eastAsia="仿宋_GB2312"/>
          <w:b/>
          <w:kern w:val="0"/>
          <w:sz w:val="32"/>
          <w:szCs w:val="32"/>
          <w:lang w:eastAsia="zh-Hans"/>
        </w:rPr>
      </w:pPr>
      <w:r>
        <w:rPr>
          <w:rFonts w:hint="eastAsia" w:ascii="仿宋_GB2312" w:hAnsi="宋体" w:eastAsia="仿宋_GB2312"/>
          <w:b/>
          <w:kern w:val="0"/>
          <w:sz w:val="32"/>
          <w:szCs w:val="32"/>
          <w:lang w:eastAsia="zh-Hans"/>
        </w:rPr>
        <w:t>第</w:t>
      </w:r>
      <w:r>
        <w:rPr>
          <w:rFonts w:hint="eastAsia" w:ascii="仿宋_GB2312" w:hAnsi="宋体" w:eastAsia="仿宋_GB2312"/>
          <w:b/>
          <w:kern w:val="0"/>
          <w:sz w:val="32"/>
          <w:szCs w:val="32"/>
          <w:lang w:eastAsia="zh-CN"/>
        </w:rPr>
        <w:t>六</w:t>
      </w:r>
      <w:r>
        <w:rPr>
          <w:rFonts w:hint="eastAsia" w:ascii="仿宋_GB2312" w:hAnsi="宋体" w:eastAsia="仿宋_GB2312"/>
          <w:b/>
          <w:kern w:val="0"/>
          <w:sz w:val="32"/>
          <w:szCs w:val="32"/>
          <w:lang w:eastAsia="zh-Hans"/>
        </w:rPr>
        <w:t>部分</w:t>
      </w:r>
      <w:r>
        <w:rPr>
          <w:rFonts w:ascii="仿宋_GB2312" w:hAnsi="宋体" w:eastAsia="仿宋_GB2312"/>
          <w:b/>
          <w:kern w:val="0"/>
          <w:sz w:val="32"/>
          <w:szCs w:val="32"/>
          <w:lang w:eastAsia="zh-Hans"/>
        </w:rPr>
        <w:t xml:space="preserve"> </w:t>
      </w:r>
      <w:r>
        <w:rPr>
          <w:rFonts w:hint="eastAsia" w:ascii="仿宋_GB2312" w:hAnsi="宋体" w:eastAsia="仿宋_GB2312"/>
          <w:b/>
          <w:kern w:val="0"/>
          <w:sz w:val="32"/>
          <w:szCs w:val="32"/>
          <w:lang w:eastAsia="zh-Hans"/>
        </w:rPr>
        <w:t>其他情况说明</w:t>
      </w:r>
    </w:p>
    <w:p>
      <w:pPr>
        <w:autoSpaceDE w:val="0"/>
        <w:autoSpaceDN w:val="0"/>
        <w:spacing w:line="266" w:lineRule="auto"/>
        <w:ind w:firstLine="643" w:firstLineChars="200"/>
        <w:jc w:val="center"/>
        <w:rPr>
          <w:rFonts w:ascii="Times New Roman" w:hAnsi="Times New Roman" w:eastAsia="方正小标宋_GBK"/>
          <w:b/>
          <w:sz w:val="32"/>
        </w:rPr>
      </w:pPr>
    </w:p>
    <w:p>
      <w:pPr>
        <w:autoSpaceDE w:val="0"/>
        <w:autoSpaceDN w:val="0"/>
        <w:spacing w:line="266" w:lineRule="auto"/>
        <w:rPr>
          <w:rFonts w:ascii="Times New Roman" w:hAnsi="Times New Roman" w:eastAsia="方正小标宋_GBK"/>
          <w:b/>
          <w:sz w:val="32"/>
        </w:rPr>
      </w:pPr>
    </w:p>
    <w:p>
      <w:pPr>
        <w:autoSpaceDE w:val="0"/>
        <w:autoSpaceDN w:val="0"/>
        <w:spacing w:line="266" w:lineRule="auto"/>
        <w:rPr>
          <w:rFonts w:ascii="Times New Roman" w:hAnsi="Times New Roman" w:eastAsia="方正小标宋_GBK"/>
          <w:b/>
          <w:sz w:val="32"/>
        </w:rPr>
      </w:pPr>
    </w:p>
    <w:p>
      <w:pPr>
        <w:widowControl/>
        <w:jc w:val="center"/>
        <w:outlineLvl w:val="1"/>
        <w:rPr>
          <w:rFonts w:ascii="黑体" w:hAnsi="黑体" w:eastAsia="黑体"/>
          <w:kern w:val="0"/>
          <w:sz w:val="32"/>
          <w:szCs w:val="32"/>
        </w:rPr>
        <w:sectPr>
          <w:footerReference r:id="rId4" w:type="default"/>
          <w:pgSz w:w="11906" w:h="16838"/>
          <w:pgMar w:top="2098" w:right="1418" w:bottom="1928" w:left="1588" w:header="851" w:footer="992" w:gutter="0"/>
          <w:pgNumType w:fmt="numberInDash"/>
          <w:cols w:space="720" w:num="1"/>
          <w:docGrid w:linePitch="312" w:charSpace="0"/>
        </w:sectPr>
      </w:pPr>
    </w:p>
    <w:p>
      <w:pPr>
        <w:widowControl/>
        <w:jc w:val="center"/>
        <w:outlineLvl w:val="1"/>
        <w:rPr>
          <w:rFonts w:ascii="黑体" w:hAnsi="黑体" w:eastAsia="黑体"/>
          <w:kern w:val="0"/>
          <w:sz w:val="32"/>
          <w:szCs w:val="32"/>
          <w:lang w:eastAsia="zh-Hans"/>
        </w:rPr>
      </w:pPr>
      <w:r>
        <w:rPr>
          <w:rFonts w:ascii="黑体" w:hAnsi="黑体" w:eastAsia="黑体"/>
          <w:kern w:val="0"/>
          <w:sz w:val="32"/>
          <w:szCs w:val="32"/>
        </w:rPr>
        <w:t>第</w:t>
      </w:r>
      <w:r>
        <w:rPr>
          <w:rFonts w:hint="eastAsia" w:ascii="黑体" w:hAnsi="黑体" w:eastAsia="黑体"/>
          <w:kern w:val="0"/>
          <w:sz w:val="32"/>
          <w:szCs w:val="32"/>
          <w:lang w:eastAsia="zh-Hans"/>
        </w:rPr>
        <w:t>一</w:t>
      </w:r>
      <w:r>
        <w:rPr>
          <w:rFonts w:ascii="黑体" w:hAnsi="黑体" w:eastAsia="黑体"/>
          <w:kern w:val="0"/>
          <w:sz w:val="32"/>
          <w:szCs w:val="32"/>
        </w:rPr>
        <w:t>部分</w:t>
      </w:r>
      <w:r>
        <w:rPr>
          <w:rFonts w:ascii="黑体" w:hAnsi="黑体" w:eastAsia="黑体"/>
          <w:kern w:val="0"/>
          <w:sz w:val="32"/>
          <w:szCs w:val="32"/>
        </w:rPr>
        <w:tab/>
      </w:r>
      <w:r>
        <w:rPr>
          <w:rFonts w:hint="eastAsia" w:ascii="黑体" w:hAnsi="黑体" w:eastAsia="黑体"/>
          <w:kern w:val="0"/>
          <w:sz w:val="32"/>
          <w:szCs w:val="32"/>
          <w:lang w:eastAsia="zh-Hans"/>
        </w:rPr>
        <w:t>预算草案报告</w:t>
      </w:r>
    </w:p>
    <w:p>
      <w:pPr>
        <w:pStyle w:val="8"/>
        <w:ind w:left="320" w:right="320"/>
      </w:pPr>
    </w:p>
    <w:p>
      <w:pPr>
        <w:pStyle w:val="8"/>
        <w:ind w:left="320" w:right="320"/>
        <w:rPr>
          <w:sz w:val="32"/>
          <w:szCs w:val="32"/>
        </w:rPr>
      </w:pPr>
      <w:r>
        <w:rPr>
          <w:sz w:val="32"/>
          <w:szCs w:val="32"/>
        </w:rPr>
        <w:t>关于2021年自治州预算执行情况和2022年预算（草案）的报告</w:t>
      </w:r>
    </w:p>
    <w:p>
      <w:pPr>
        <w:pStyle w:val="9"/>
        <w:rPr>
          <w:rFonts w:ascii="楷体" w:hAnsi="楷体" w:eastAsia="楷体"/>
          <w:sz w:val="24"/>
          <w:szCs w:val="24"/>
        </w:rPr>
      </w:pPr>
    </w:p>
    <w:p>
      <w:pPr>
        <w:pStyle w:val="9"/>
        <w:rPr>
          <w:rFonts w:ascii="楷体" w:hAnsi="楷体" w:eastAsia="楷体"/>
          <w:sz w:val="28"/>
          <w:szCs w:val="28"/>
        </w:rPr>
      </w:pPr>
      <w:r>
        <w:rPr>
          <w:rFonts w:ascii="楷体" w:hAnsi="楷体" w:eastAsia="楷体"/>
          <w:sz w:val="28"/>
          <w:szCs w:val="28"/>
        </w:rPr>
        <w:t>2022年1月10日在昌吉回族自治州第十六届人民代表大会</w:t>
      </w:r>
    </w:p>
    <w:p>
      <w:pPr>
        <w:pStyle w:val="9"/>
        <w:rPr>
          <w:rFonts w:ascii="楷体" w:hAnsi="楷体" w:eastAsia="楷体"/>
          <w:sz w:val="28"/>
          <w:szCs w:val="28"/>
        </w:rPr>
      </w:pPr>
      <w:r>
        <w:rPr>
          <w:rFonts w:ascii="楷体" w:hAnsi="楷体" w:eastAsia="楷体"/>
          <w:sz w:val="28"/>
          <w:szCs w:val="28"/>
        </w:rPr>
        <w:t>第一次会议上</w:t>
      </w:r>
    </w:p>
    <w:p>
      <w:pPr>
        <w:pStyle w:val="9"/>
        <w:rPr>
          <w:rFonts w:ascii="楷体_GB2312" w:eastAsia="楷体_GB2312"/>
          <w:sz w:val="28"/>
          <w:szCs w:val="28"/>
        </w:rPr>
      </w:pPr>
    </w:p>
    <w:p>
      <w:pPr>
        <w:pStyle w:val="9"/>
        <w:rPr>
          <w:rFonts w:ascii="楷体_GB2312" w:eastAsia="楷体_GB2312"/>
          <w:sz w:val="28"/>
          <w:szCs w:val="28"/>
        </w:rPr>
      </w:pPr>
      <w:r>
        <w:rPr>
          <w:rFonts w:hint="eastAsia" w:ascii="楷体_GB2312" w:eastAsia="楷体_GB2312"/>
          <w:sz w:val="28"/>
          <w:szCs w:val="28"/>
        </w:rPr>
        <w:t>自治州财政局</w:t>
      </w:r>
    </w:p>
    <w:p>
      <w:pPr>
        <w:pStyle w:val="10"/>
        <w:ind w:firstLine="640"/>
      </w:pPr>
    </w:p>
    <w:p>
      <w:pPr>
        <w:pStyle w:val="10"/>
        <w:spacing w:line="560" w:lineRule="exact"/>
        <w:ind w:firstLine="0" w:firstLineChars="0"/>
      </w:pPr>
      <w:r>
        <w:t>各位代表：</w:t>
      </w:r>
    </w:p>
    <w:p>
      <w:pPr>
        <w:pStyle w:val="10"/>
        <w:spacing w:line="560" w:lineRule="exact"/>
        <w:ind w:firstLine="640"/>
      </w:pPr>
      <w:r>
        <w:t xml:space="preserve">受州人民政府委托，向大会报告2021年自治州预算执行情况和2022年预算（草案），请予审议，并请政协委员和其他列席人员提出意见。 </w:t>
      </w:r>
    </w:p>
    <w:p>
      <w:pPr>
        <w:pStyle w:val="11"/>
        <w:spacing w:line="560" w:lineRule="exact"/>
        <w:ind w:firstLine="640"/>
        <w:rPr>
          <w:rFonts w:ascii="黑体" w:hAnsi="黑体" w:eastAsia="黑体"/>
        </w:rPr>
      </w:pPr>
      <w:r>
        <w:rPr>
          <w:rFonts w:ascii="黑体" w:hAnsi="黑体" w:eastAsia="黑体"/>
        </w:rPr>
        <w:t>一、2021年预算执行情况</w:t>
      </w:r>
    </w:p>
    <w:p>
      <w:pPr>
        <w:pStyle w:val="10"/>
        <w:spacing w:line="560" w:lineRule="exact"/>
        <w:ind w:firstLine="640"/>
        <w:jc w:val="both"/>
      </w:pPr>
      <w:r>
        <w:t>2021年，在州党委的坚强领导下，在州人大、政协的监督支持下，我们坚持以习近平新时代中国特色社会主义思想为指导，深入学习贯彻党的十九大和十九届历次全会精神，深入学习贯彻第二次、第三次中央新疆工作座谈会精神，完整准确全面贯彻新时代党的治疆方略，坚持稳中求进工作总基调，立足新发展阶段、贯彻新发展理念、构建新发展格局，落实积极的财政政策提质增效、更可持续的要求，扎实做好“六稳”工作、全面落实“六保”任务，大力压减非急需非刚性支出，深化财税改革，优化资金配置，加强预算管理，强化监督检查，圆满完成自治州十五届人大五次会议确定的目标任务。</w:t>
      </w:r>
    </w:p>
    <w:p>
      <w:pPr>
        <w:pStyle w:val="12"/>
        <w:spacing w:line="560" w:lineRule="exact"/>
        <w:ind w:firstLine="643"/>
        <w:rPr>
          <w:rFonts w:ascii="楷体" w:hAnsi="楷体" w:eastAsia="楷体"/>
        </w:rPr>
      </w:pPr>
      <w:r>
        <w:rPr>
          <w:rFonts w:ascii="楷体" w:hAnsi="楷体" w:eastAsia="楷体"/>
        </w:rPr>
        <w:t>（一）2021年自治州及州本级预算执行情况</w:t>
      </w:r>
    </w:p>
    <w:p>
      <w:pPr>
        <w:pStyle w:val="10"/>
        <w:spacing w:line="560" w:lineRule="exact"/>
        <w:ind w:firstLine="643"/>
      </w:pPr>
      <w:r>
        <w:rPr>
          <w:b/>
        </w:rPr>
        <w:t>1.一般公共预算执行情况。</w:t>
      </w:r>
    </w:p>
    <w:p>
      <w:pPr>
        <w:pStyle w:val="10"/>
        <w:spacing w:line="560" w:lineRule="exact"/>
        <w:ind w:firstLine="643"/>
        <w:jc w:val="both"/>
      </w:pPr>
      <w:r>
        <w:rPr>
          <w:b/>
        </w:rPr>
        <w:t>自治州一般公共预算执行情况。</w:t>
      </w:r>
      <w:r>
        <w:t>自治州财政预算收入总计380.47亿元，其中：一般公共预算收入完成157.91亿元，为预算的104.1%，比2020年完成数增加14.78亿元，增长10.33%。其中：税收收入完成112.91亿元，为预算的106.53%，比2020年完成数增加23.1亿元，增长25.72%；非税收入完成45亿元，为预算的98.38%，比2020年完成数减少8.32亿元，下降15.6%。上级补助收入137.51亿元，上年结余8.32亿元，调入资金4.77亿元，地方政府一般债务转贷收入59.01亿元，动用预算稳定调节基金12.95亿元。自治州财政预算支出总计363.91亿元，其中：一般公共预算支出完成297.69亿元，为预算的122.47%，比2020年完成数增加18.34亿元，增长6.56%。上解上级支出2.96亿元，地方政府一般债务还本支出41.91亿元，安排预算稳定调节基金21.35亿元。收支相抵，年终结余16.56亿元，其中：结转下年支出16.56亿元，净结余为零。</w:t>
      </w:r>
    </w:p>
    <w:p>
      <w:pPr>
        <w:pStyle w:val="10"/>
        <w:spacing w:line="560" w:lineRule="exact"/>
        <w:ind w:firstLine="643"/>
        <w:rPr>
          <w:b/>
        </w:rPr>
      </w:pPr>
      <w:r>
        <w:rPr>
          <w:b/>
        </w:rPr>
        <w:t>主要项目执行情况：</w:t>
      </w:r>
    </w:p>
    <w:p>
      <w:pPr>
        <w:pStyle w:val="10"/>
        <w:spacing w:line="560" w:lineRule="exact"/>
        <w:ind w:firstLine="640"/>
        <w:jc w:val="both"/>
      </w:pPr>
      <w:r>
        <w:t>——教育支出完成43.24亿元，增长0.5%。主要是安排4532万元落实农村学前免费教育保障机制。投入资金7325万元，支持新建、改扩建城市公办幼儿园6个。安排3.69亿元巩固落实城乡统一、重在农村的义务教育经费保障机制，支持改善义务教育阶段学校办学条件。安排2.87亿元推进职业教育发展。全面落实国家和自治区各项学生资助政策，确保家庭经济困难学生资助全覆盖。保障全州教师工资及时足额发放。</w:t>
      </w:r>
    </w:p>
    <w:p>
      <w:pPr>
        <w:pStyle w:val="10"/>
        <w:spacing w:line="560" w:lineRule="exact"/>
        <w:ind w:firstLine="640"/>
        <w:jc w:val="both"/>
      </w:pPr>
      <w:r>
        <w:t>——科学技术支出完成3.06亿元，增长4.71%。主要是支持重大科技专项、重点研发任务专项、区域协同创新专项、科技成果转化示范专项等项目实施。设立高新技术企业发展专项资金，落实企业研发费用加计扣除政策，引导全社会加大科技研发投入。</w:t>
      </w:r>
    </w:p>
    <w:p>
      <w:pPr>
        <w:pStyle w:val="10"/>
        <w:spacing w:line="560" w:lineRule="exact"/>
        <w:ind w:firstLine="640"/>
        <w:jc w:val="both"/>
      </w:pPr>
      <w:r>
        <w:t>——文化旅游体育与传媒支出完成4.27亿元，增长2.79%。主要是支持完善公共文化服务体系建设，保障文化润疆工程稳步推进。支持深入实施广播电视村村通、文化信息资源共享、农村电影放映、农家书屋、基层文化服务中心建设等文化惠民工程。支持全域旅游发展，安排资金解决旅游厕所、停车场、通信基站等基础设施短板，推进旅游业高质量发展。</w:t>
      </w:r>
    </w:p>
    <w:p>
      <w:pPr>
        <w:pStyle w:val="10"/>
        <w:spacing w:line="560" w:lineRule="exact"/>
        <w:ind w:firstLine="640"/>
        <w:jc w:val="both"/>
      </w:pPr>
      <w:r>
        <w:t>——社会保障和就业支出完成25.34亿元，下降7.26%。主要是安排就业资金1.62亿元，用于促进扩大就业，支持实施就业优先政策，全州累计实现城镇新增就业2.31万人，农村劳动力转移就业14.33万人次，城镇登记失业率始终控制在3.5%以内，保障自治州就业形势持续稳定。安排0.32亿元支持实施职业技能提升行动，惠及11.63万人，助力劳动者稳岗就业。提高养老保障水平，落实城乡居民、企业和机关事业单位退休人员基本养老标准调整政策。继续提高城乡低保、两项残疾人补贴等社会救助政策标准，加大对优抚对象等人群的补助力度，推动自治州救助体系更加完善，兜牢民生底线。</w:t>
      </w:r>
    </w:p>
    <w:p>
      <w:pPr>
        <w:pStyle w:val="10"/>
        <w:spacing w:line="560" w:lineRule="exact"/>
        <w:ind w:firstLine="640"/>
        <w:jc w:val="both"/>
      </w:pPr>
      <w:r>
        <w:t>——卫生健康支出完成21.76亿元，增长1.82%。主要是多方统筹资金支持州人民医院传染病分院和新区医院建设，提升全州卫生事业基础设施水平。保障实施全民免费健康体检，推进医疗保险参保扩面，全州职工基本医疗和城乡居民医疗保险保障人群达113.52万人，城乡居民医疗保险人均财政补助标准达635元。长期护理保险制度试点持续推进，长期照护保障制度建设更加完善。推动医疗救助州级统筹，适度提高救助标准，覆盖范围更加合理，保障能力进一步提升。</w:t>
      </w:r>
    </w:p>
    <w:p>
      <w:pPr>
        <w:pStyle w:val="10"/>
        <w:spacing w:line="560" w:lineRule="exact"/>
        <w:ind w:firstLine="640"/>
        <w:jc w:val="both"/>
      </w:pPr>
      <w:r>
        <w:t>——农林水事务支出完成43.76亿元，增长23.94%。主要是做好巩固脱贫攻坚成果同乡村振兴有效衔接，保持过渡期内财政支持政策总体稳定，州本级财政安排1.82亿元，支持促进畜牧业高质量发展，加大农村基础设施建设，改善农村人居环境，持续打造环境优、生活好、乡风美的人居环境示范村。切实保障粮食安全，全面落实耕地地力补贴政策，发放补贴资金4.9亿元。大力支持农业产业发展，投入4.8亿元，通过高标准农田建设引导提升粮食生产效率，支持实施农机转型升级推进工程，加大农机购置补贴力度，促进农业经营主体提高机械化耕作水平。支持水利建设，投入资金1.5亿元，保障中小河流治理、重点中型灌区节水改造、农村饮水工程和小水库维修养护等项目实施。</w:t>
      </w:r>
    </w:p>
    <w:p>
      <w:pPr>
        <w:pStyle w:val="10"/>
        <w:spacing w:line="560" w:lineRule="exact"/>
        <w:ind w:firstLine="640"/>
        <w:jc w:val="both"/>
      </w:pPr>
      <w:r>
        <w:t>——节能环保支出完成3.93亿元，下降6.35%。主要是支持生态环境保护，州本级财政安排1亿元，保障水、大气和林业生态修复等项目实施。支持重点生态保护修复治理，完成历史遗留废弃矿山环境修复治理面积12.33公顷。持续开展大气污染专项整治，支持烟气脱硫、石灰窑改造等项目推进落实。落实国家推进碳达峰、碳中和的战略要求，安排节能减排资金支持开展节能技术改造、能耗监测等项目。</w:t>
      </w:r>
    </w:p>
    <w:p>
      <w:pPr>
        <w:pStyle w:val="10"/>
        <w:spacing w:line="560" w:lineRule="exact"/>
        <w:ind w:firstLine="640"/>
        <w:jc w:val="both"/>
      </w:pPr>
      <w:r>
        <w:t>——交通运输支出完成15.4亿元，增长35.39%。主要是安排9.1亿元支持G312呼图壁至玛纳斯公路改扩建和G331鸣沙山至乌拉斯台等公路建设项目，完成公路建设197公里。支持西部南山伴行公路建设。落实支持“三农”战略要求，完成农村公路建设333公里。安排0.39亿元支持推进农村客运成品油价格改革。</w:t>
      </w:r>
    </w:p>
    <w:p>
      <w:pPr>
        <w:pStyle w:val="10"/>
        <w:spacing w:line="560" w:lineRule="exact"/>
        <w:ind w:firstLine="640"/>
        <w:jc w:val="both"/>
      </w:pPr>
      <w:r>
        <w:t>——住房保障支出完成11.64亿元，下降15.83%。主要是支持完成102个老旧小区的供水、供热、管网等改造内容，老旧小区基础设施条件得到进一步改善。安排0.35亿元实施农房抗震防灾项目，完成1600户改造任务，保障农村困难群众住房安全。</w:t>
      </w:r>
    </w:p>
    <w:p>
      <w:pPr>
        <w:pStyle w:val="10"/>
        <w:spacing w:line="560" w:lineRule="exact"/>
        <w:ind w:firstLine="643"/>
        <w:jc w:val="both"/>
      </w:pPr>
      <w:r>
        <w:rPr>
          <w:b/>
        </w:rPr>
        <w:t>州本级一般公共预算执行情况。</w:t>
      </w:r>
      <w:r>
        <w:t>州本级财政预算收入总计91.7亿元，其中：一般公共预算收入完成12.14亿元，为预算的91.94%，比2020年完成数减少1.97亿元，下降13.97%。上级补助收入36.78亿元，上年结余3.98亿元，调入资金0.2亿元，下级上解收入22.19亿元，地方政府一般债务转贷收入8.18亿元，动用预算稳定调节基金8.23亿元。州本级财政预算支出总计84.83亿元，其中：一般公共预算支出完成48.89亿元，为调整预算的93.48%，比2020年完成数增加6.34亿元，增长14.9%。补助下级支出22.89亿元，上解上级支出0.26亿元，安排预算稳定调节基金6亿元，地方政府一般债务还本支出6.79亿元。收支相抵，年终结余6.87亿元，其中：结转下年支出6.87亿元，净结余为零。</w:t>
      </w:r>
    </w:p>
    <w:p>
      <w:pPr>
        <w:pStyle w:val="10"/>
        <w:spacing w:line="560" w:lineRule="exact"/>
        <w:ind w:firstLine="643"/>
        <w:jc w:val="both"/>
        <w:rPr>
          <w:b/>
        </w:rPr>
      </w:pPr>
      <w:r>
        <w:rPr>
          <w:b/>
        </w:rPr>
        <w:t>2.政府性基金预算执行情况。</w:t>
      </w:r>
    </w:p>
    <w:p>
      <w:pPr>
        <w:pStyle w:val="10"/>
        <w:spacing w:line="560" w:lineRule="exact"/>
        <w:ind w:firstLine="643"/>
        <w:jc w:val="both"/>
      </w:pPr>
      <w:r>
        <w:rPr>
          <w:b/>
        </w:rPr>
        <w:t>自治州政府性基金预算执行情况。</w:t>
      </w:r>
      <w:r>
        <w:t>自治州政府性基金总收入完成117.53亿元，其中：政府性基金收入完成41.87亿元，比2020年完成数增加3.14亿元，增长8.11%。上级补助收入0.44亿元，地方政府专项债务转贷收入73.1亿元，上年结余2.12亿元。自治州政府性基金总支出完成115.48亿元，其中：政府性基金支出完成104.98亿元，比2020年减少17.13亿元，下降14.03%。调出资金0.29亿元，上解支出0.18亿元，地方政府专项债务还本支出10.03亿元。收支相抵，年终结余2.05亿元。</w:t>
      </w:r>
    </w:p>
    <w:p>
      <w:pPr>
        <w:pStyle w:val="10"/>
        <w:spacing w:line="560" w:lineRule="exact"/>
        <w:ind w:firstLine="643"/>
        <w:jc w:val="both"/>
      </w:pPr>
      <w:r>
        <w:rPr>
          <w:b/>
        </w:rPr>
        <w:t>州本级政府性基金预算执行情况。</w:t>
      </w:r>
      <w:r>
        <w:t>州本级政府性基金总收入完成74.32亿元，其中：政府性基金收入完成1.04亿元，为调整预算的104.38%，比2020年完成数增加0.48亿元，增长86.89%。上级补助收入0.04亿元，地方政府专项债务转贷收入73.1亿元，上年结余0.14亿元。州本级政府性基金总支出完成74.06亿元，其中：政府性基金支出完成15.29亿元，为调整预算的98.43%，比2020年增加3.25亿元，增长27.02%。调出资金0.1亿元，补助下级支出0.17亿元，地方政府专项债务转贷支出58.5亿元。收支相抵，年终结余0.26亿元。</w:t>
      </w:r>
    </w:p>
    <w:p>
      <w:pPr>
        <w:pStyle w:val="10"/>
        <w:spacing w:line="560" w:lineRule="exact"/>
        <w:ind w:firstLine="643"/>
        <w:jc w:val="both"/>
        <w:rPr>
          <w:b/>
        </w:rPr>
      </w:pPr>
      <w:r>
        <w:rPr>
          <w:b/>
        </w:rPr>
        <w:t>3.国有资本经营预算执行情况。</w:t>
      </w:r>
    </w:p>
    <w:p>
      <w:pPr>
        <w:pStyle w:val="10"/>
        <w:spacing w:line="560" w:lineRule="exact"/>
        <w:ind w:firstLine="643"/>
        <w:jc w:val="both"/>
      </w:pPr>
      <w:r>
        <w:rPr>
          <w:b/>
        </w:rPr>
        <w:t>自治州国有资本经营预算执行情况。</w:t>
      </w:r>
      <w:r>
        <w:t>自治州国有资本经营预算总收入完成0.61亿元，其中：国有资本经营预算收入0.49亿元，为预算的113.95%，比2020年完成数增加0.11亿元，增长28.95%。上级补助收入0.05亿元，上年结余0.07亿元。自治州国有资本经营预算总支出完成0.54亿元，其中：国有资本经营预算支出0.4亿元，为预算的105.26%，比2020年完成数增加0.15亿元，增长60%。调出资金0.14亿元。收支相抵，年终结余0.07亿元。</w:t>
      </w:r>
    </w:p>
    <w:p>
      <w:pPr>
        <w:pStyle w:val="10"/>
        <w:spacing w:line="560" w:lineRule="exact"/>
        <w:ind w:firstLine="643"/>
        <w:jc w:val="both"/>
      </w:pPr>
      <w:r>
        <w:rPr>
          <w:b/>
        </w:rPr>
        <w:t>州本级国有资本经营预算执行情况。</w:t>
      </w:r>
      <w:r>
        <w:t>州本级国有资本经营预算总收入完成0.28亿元，其中：国有资本经营预算收入0.21亿元，为调整预算的100%，比2020年完成数增加0.01亿元，增长5%。上级补助收入0.06亿元，上年结余0.01亿元。州本级国有资本经营预算总支出完成0.28亿元，其中：国有资本经营预算支出0.22亿元，为调整预算的100%，比2020年完成数增加0.02亿元，增长10%。调出资金0.06亿元。收支相抵，年终收支平衡。</w:t>
      </w:r>
    </w:p>
    <w:p>
      <w:pPr>
        <w:pStyle w:val="10"/>
        <w:spacing w:line="560" w:lineRule="exact"/>
        <w:ind w:firstLine="643"/>
        <w:jc w:val="both"/>
        <w:rPr>
          <w:b/>
        </w:rPr>
      </w:pPr>
      <w:r>
        <w:rPr>
          <w:b/>
        </w:rPr>
        <w:t>4.社会保险基金预算执行情况。</w:t>
      </w:r>
    </w:p>
    <w:p>
      <w:pPr>
        <w:pStyle w:val="10"/>
        <w:spacing w:line="560" w:lineRule="exact"/>
        <w:ind w:firstLine="643"/>
        <w:jc w:val="both"/>
      </w:pPr>
      <w:r>
        <w:rPr>
          <w:b/>
        </w:rPr>
        <w:t>自治州社会保险基金预算执行情况。</w:t>
      </w:r>
      <w:r>
        <w:t>自治州社会保险基金总收入完成108.87亿元，其中：自治州社会保险基金收入完成58.08亿元，为预算的104.16%，比2020年完成数增加6.89亿元，增长13.46%，具体包括：保险费收入36.6亿元，财政补贴收入20.45亿元，利息收入0.68亿元；上年结余50.25亿元；机关事业单位养老保险上级净补0.54亿元。自治州社会保险基金总支出完成50.24亿元，其中：自治州社会保险基金支出完成50.24亿元，为预算的100.04%，比2020年完成数增加4.7亿元，增长10.32%。收支相抵，年终结余58.63亿元。</w:t>
      </w:r>
    </w:p>
    <w:p>
      <w:pPr>
        <w:pStyle w:val="10"/>
        <w:spacing w:line="560" w:lineRule="exact"/>
        <w:ind w:firstLine="643"/>
        <w:jc w:val="both"/>
      </w:pPr>
      <w:r>
        <w:rPr>
          <w:b/>
        </w:rPr>
        <w:t>州本级社会保险基金预算执行情况。</w:t>
      </w:r>
      <w:r>
        <w:t>州本级社会保险基金总收入完成77.94亿元，其中：州本级社会保险基金收入完成37.96亿元，为预算的104.11%，比2020年完成数增加5.14亿元，增长15.66%，具体包括：保险费收入27.21亿元，财政补贴收入10.08亿元，利息收入0.5亿元；上年结余39.44亿元；机关事业单位养老保险上级净补0.54亿元。州本级社会保险基金总支出完成31.81亿元，其中：州本级社会保险基金支出完成31.81亿元，为调整预算的98.82%，比2020年完成数增加3.27亿元，增长11.46%。收支相抵，年终结余46.13亿元。</w:t>
      </w:r>
    </w:p>
    <w:p>
      <w:pPr>
        <w:pStyle w:val="10"/>
        <w:spacing w:line="560" w:lineRule="exact"/>
        <w:ind w:firstLine="643"/>
        <w:jc w:val="both"/>
        <w:rPr>
          <w:b/>
        </w:rPr>
      </w:pPr>
      <w:r>
        <w:rPr>
          <w:b/>
        </w:rPr>
        <w:t>5.2021年自治州地方政府债务限额及地方政府债券转贷情况。</w:t>
      </w:r>
    </w:p>
    <w:p>
      <w:pPr>
        <w:pStyle w:val="10"/>
        <w:spacing w:line="560" w:lineRule="exact"/>
        <w:ind w:firstLine="643"/>
        <w:jc w:val="both"/>
        <w:rPr>
          <w:b/>
        </w:rPr>
      </w:pPr>
      <w:r>
        <w:rPr>
          <w:b/>
        </w:rPr>
        <w:t>（1）2021年新增地方政府债务限额情况。</w:t>
      </w:r>
    </w:p>
    <w:p>
      <w:pPr>
        <w:pStyle w:val="10"/>
        <w:spacing w:line="560" w:lineRule="exact"/>
        <w:ind w:firstLine="640"/>
        <w:jc w:val="both"/>
      </w:pPr>
      <w:r>
        <w:t>经自治区人民政府批准，自治区财政厅核定昌吉州2021年新增地方政府债务限额102.3亿元，其中：新增一般债务限额34.5亿元，新增专项债务限额67.8亿元。根据《中华人民共和国预算法》和地方政府债务管理的有关规定，自治州依照自治区人民政府下达限额举借的债务，分别列入预算调整方案，经自治州第十五届人大常委会第37次和第41次会议批准后，通过转贷地方政府债券举借。</w:t>
      </w:r>
    </w:p>
    <w:p>
      <w:pPr>
        <w:pStyle w:val="10"/>
        <w:spacing w:line="560" w:lineRule="exact"/>
        <w:ind w:firstLine="643"/>
        <w:jc w:val="both"/>
        <w:rPr>
          <w:b/>
        </w:rPr>
      </w:pPr>
      <w:r>
        <w:rPr>
          <w:b/>
        </w:rPr>
        <w:t>（2）2021年地方政府债券转贷情况。</w:t>
      </w:r>
    </w:p>
    <w:p>
      <w:pPr>
        <w:pStyle w:val="10"/>
        <w:spacing w:line="560" w:lineRule="exact"/>
        <w:ind w:firstLine="640"/>
        <w:jc w:val="both"/>
      </w:pPr>
      <w:r>
        <w:t>2021年自治州转贷地方政府债券132.11亿元。一是转贷新增地方政府债券100.11亿元，其中：转贷一般债券32.31亿元，主要用于教育、农林水、城镇老旧小区改造和支持巩固拓展脱贫攻坚成果同乡村振兴有效衔接等领域。转贷专项债券67.8亿元，主要用于收费公路、城市停车场、卫生健康、城镇污水垃圾处理、养老、文化旅游、供水供热、园区基础设施建设等项目。二是转贷再融资债券32亿元（再融资债券不列入2021年新增政府债务限额），用于偿还全州各级政府到期债券本金，缓解各级政府偿债压力。</w:t>
      </w:r>
    </w:p>
    <w:p>
      <w:pPr>
        <w:pStyle w:val="12"/>
        <w:spacing w:line="560" w:lineRule="exact"/>
        <w:ind w:firstLine="643"/>
        <w:jc w:val="both"/>
        <w:rPr>
          <w:rFonts w:ascii="楷体" w:hAnsi="楷体" w:eastAsia="楷体"/>
        </w:rPr>
      </w:pPr>
      <w:r>
        <w:rPr>
          <w:rFonts w:ascii="楷体" w:hAnsi="楷体" w:eastAsia="楷体"/>
        </w:rPr>
        <w:t>（二）2021年准东经济技术开发区预算执行情况</w:t>
      </w:r>
    </w:p>
    <w:p>
      <w:pPr>
        <w:pStyle w:val="10"/>
        <w:spacing w:line="560" w:lineRule="exact"/>
        <w:ind w:firstLine="643"/>
        <w:jc w:val="both"/>
        <w:rPr>
          <w:b/>
        </w:rPr>
      </w:pPr>
      <w:r>
        <w:rPr>
          <w:b/>
        </w:rPr>
        <w:t>1.一般公共预算执行情况。</w:t>
      </w:r>
      <w:r>
        <w:t>准东经济技术开发区财政预算收入总计49.45 亿元，其中：一般公共预算收入完成43.59亿元，为预算的147%，比2020年完成数增加17.68亿元，增长68.2%。上级补助收入1.69亿元，调入资金0.04亿元，地方政府一般债务转贷收入0.57亿元，动用预算稳定调节基金3.56亿元。准东经济技术开发区财政预算支出总计49.4亿元，其中：一般公共预算支出12.23亿元，为预算的106.7%，比2020年完成数增加3.71亿元，增长43.5%。上解上级支出20.42亿元，地方政府一般债务还本支出1亿元，安排预算稳定调节基金15.75亿元。收支相抵，年终结余0.05亿元，其中：结转下年支出0.05亿元，净结余为零。</w:t>
      </w:r>
    </w:p>
    <w:p>
      <w:pPr>
        <w:pStyle w:val="10"/>
        <w:spacing w:line="560" w:lineRule="exact"/>
        <w:ind w:firstLine="643"/>
        <w:jc w:val="both"/>
        <w:rPr>
          <w:b/>
        </w:rPr>
      </w:pPr>
      <w:r>
        <w:rPr>
          <w:b/>
        </w:rPr>
        <w:t>2.政府性基金预算执行情况。</w:t>
      </w:r>
      <w:r>
        <w:t>准东经济技术开发区政府性基金总收入完成8.22亿元，其中：政府性基金收入完成1.55亿元，为预算的51.7%，比2020年完成数减少0.05亿元，下降3%。地方政府专项债务转贷收入6.5亿元，上年结余0.17亿元。准东经济技术开发区政府性基金总支出完成7.96亿元，其中：政府性基金支出完成7.75亿元，为预算的258.3%，比2020年完成数减少2.75亿元，下降26.2%。上解上级支出0.05亿元，地方政府专项债务还本支出0.16亿元。收支相抵，年终结余0.26亿元。</w:t>
      </w:r>
    </w:p>
    <w:p>
      <w:pPr>
        <w:pStyle w:val="10"/>
        <w:spacing w:line="560" w:lineRule="exact"/>
        <w:ind w:firstLine="643"/>
        <w:jc w:val="both"/>
        <w:rPr>
          <w:b/>
        </w:rPr>
      </w:pPr>
      <w:r>
        <w:rPr>
          <w:b/>
        </w:rPr>
        <w:t>3.国有资本经营预算执行情况。</w:t>
      </w:r>
      <w:r>
        <w:t>准东经济技术开发区国有资本经营预算总收入完成0.19亿元，其中：国有资本经营预算收入0.14亿元，为预算的127%，比2020年完成数增加0.07亿元，增长100%。上年结余0.05亿元。准东经济技术开发区国有资本经营预算总支出完成0.19亿元，其中：国有资本经营预算支出0.15亿元，为预算的115.4%，比2020年完成数增加0.12亿元，增长400%。调出资金0.04亿元。收支相抵，年终结余为零。</w:t>
      </w:r>
    </w:p>
    <w:p>
      <w:pPr>
        <w:pStyle w:val="12"/>
        <w:spacing w:line="560" w:lineRule="exact"/>
        <w:ind w:firstLine="643"/>
        <w:jc w:val="both"/>
        <w:rPr>
          <w:rFonts w:ascii="楷体" w:hAnsi="楷体" w:eastAsia="楷体"/>
        </w:rPr>
      </w:pPr>
      <w:r>
        <w:rPr>
          <w:rFonts w:ascii="楷体" w:hAnsi="楷体" w:eastAsia="楷体"/>
        </w:rPr>
        <w:t>（三）2021年农业园区预算执行情况</w:t>
      </w:r>
    </w:p>
    <w:p>
      <w:pPr>
        <w:pStyle w:val="10"/>
        <w:spacing w:line="560" w:lineRule="exact"/>
        <w:ind w:firstLine="643"/>
        <w:jc w:val="both"/>
        <w:rPr>
          <w:b/>
        </w:rPr>
      </w:pPr>
      <w:r>
        <w:rPr>
          <w:b/>
        </w:rPr>
        <w:t>1.一般公共预算执行情况。</w:t>
      </w:r>
      <w:r>
        <w:t>农业园区财政预算收入总计8.81亿元，其中：一般公共预算收入完成4.52亿元，为预算的82.82%，比2020年完成数减少0.63亿元，下降12.21%。上级补助收入2.56亿元，上年结余0.3亿元，调入资金0.04亿元，地方政府一般债务转贷收入1.08亿元，动用预算稳定调节基金0.31亿元。农业园区财政预算支出总计8.53亿元，其中：一般公共预算支出6.24亿元，为预算的143.16%，比2020年完成数增加1.83亿元，增长41.36%。上解上级支出0.13亿元，安排预算稳定调节基金0.03亿元，地方政府一般债务还本支出2.13亿元。收支相抵，年终结余0.28亿元，其中：结转下年支出0.28亿元，净结余为零。</w:t>
      </w:r>
    </w:p>
    <w:p>
      <w:pPr>
        <w:pStyle w:val="10"/>
        <w:spacing w:line="560" w:lineRule="exact"/>
        <w:ind w:firstLine="643"/>
        <w:jc w:val="both"/>
        <w:rPr>
          <w:b/>
        </w:rPr>
      </w:pPr>
      <w:r>
        <w:rPr>
          <w:b/>
        </w:rPr>
        <w:t>2.政府性基金预算执行情况。</w:t>
      </w:r>
      <w:r>
        <w:t>农业园区政府性基金总收入完成6.31亿元，其中：政府性基金收入完成5.25亿元，为预算的262.12%，比2020年完成数减少3.28亿元，下降38.45%。地方政府专项债务转贷收入1亿元，上年结余0.06亿元。农业园区政府性基金总支出完成6.13亿元，其中：政府性基金支出完成5.49亿元，为预算的378.35%，比2020年完成数减少4.55亿元，下降45.33%。上解上级支出0.01亿元，调出资金0.03亿元，地方政府专项债务还本支出0.6亿元。收支相抵，年终结余0.18亿元。</w:t>
      </w:r>
    </w:p>
    <w:p>
      <w:pPr>
        <w:pStyle w:val="10"/>
        <w:spacing w:line="560" w:lineRule="exact"/>
        <w:ind w:firstLine="643"/>
        <w:jc w:val="both"/>
        <w:rPr>
          <w:b/>
        </w:rPr>
      </w:pPr>
      <w:r>
        <w:rPr>
          <w:b/>
        </w:rPr>
        <w:t>3.国有资本经营预算执行情况。</w:t>
      </w:r>
      <w:r>
        <w:t>农业园区国有资本经营预算总收入完成0.04亿元，其中：国有资本经营预算收入完成0.04亿元，为预算的149.43%，比2020年完成数增加0.01亿元，增长31%。农业园区国有资本经营预算总支出完成0.04亿元，其中：国有资本经营预算支出0.03亿元，为预算的170%，与2020年完成数持平。调出资金0.01亿元。收支相抵，年终结余为零。</w:t>
      </w:r>
    </w:p>
    <w:p>
      <w:pPr>
        <w:pStyle w:val="12"/>
        <w:spacing w:line="560" w:lineRule="exact"/>
        <w:ind w:firstLine="643"/>
        <w:jc w:val="both"/>
        <w:rPr>
          <w:rFonts w:ascii="楷体" w:hAnsi="楷体" w:eastAsia="楷体"/>
        </w:rPr>
      </w:pPr>
      <w:r>
        <w:rPr>
          <w:rFonts w:ascii="楷体" w:hAnsi="楷体" w:eastAsia="楷体"/>
        </w:rPr>
        <w:t>（四）贯彻区州党委工作部署及重点财政工作情况</w:t>
      </w:r>
    </w:p>
    <w:p>
      <w:pPr>
        <w:pStyle w:val="10"/>
        <w:spacing w:line="560" w:lineRule="exact"/>
        <w:ind w:firstLine="643"/>
        <w:jc w:val="both"/>
      </w:pPr>
      <w:r>
        <w:rPr>
          <w:b/>
        </w:rPr>
        <w:t>1.牢牢扭住总目标，保持社会大局持续稳定长期稳定。</w:t>
      </w:r>
      <w:r>
        <w:t>牢固树立维护稳定的政治责任，“打防管控建”综合发力，全面推进平安昌吉建设。强化边境管控，支持推进“智慧边防”建设，健全口岸边境管控体系。全力保障“访惠聚”驻村工作、“民族团结一家亲”等工作经费，促进各族群众交流交融，确保自治州社会大局和谐稳定。</w:t>
      </w:r>
    </w:p>
    <w:p>
      <w:pPr>
        <w:pStyle w:val="10"/>
        <w:spacing w:line="560" w:lineRule="exact"/>
        <w:ind w:firstLine="643"/>
        <w:jc w:val="both"/>
      </w:pPr>
      <w:r>
        <w:rPr>
          <w:b/>
        </w:rPr>
        <w:t>2.聚焦推动高质量发展，支持培育壮大特色优势产业。</w:t>
      </w:r>
      <w:r>
        <w:t>落实区州党委支持产业发展的决策部署，聚焦支持一二三产业融合发展。大力发展畜牧、葡萄酒等特色产业，实施设立草畜产业基金，规模达3亿元，州本级财政安排支持产业发展专项经费1.1亿元。围绕构建“15+4”现代产业体系，严格落实自治州“5+1”项目储备库管理机制，争取地方政府新增债券100亿元，助力州人民医院新区医院、西部南山伴行公路和S327线改扩建等项目实施。用准用好10亿元自治区支持产业发展专项资金，实现固定资产投资和就业人数的“双拉动”。安排中小企业发展专项资金0.24亿元，完成清欠民营企业、中小企业账款3.2亿元，进一步改善营商环境，有力释放中小企业发展动能。加大对安全生产工作的投入力度，持续为经济高质量发展提供保障。</w:t>
      </w:r>
    </w:p>
    <w:p>
      <w:pPr>
        <w:pStyle w:val="10"/>
        <w:spacing w:line="560" w:lineRule="exact"/>
        <w:ind w:firstLine="643"/>
        <w:jc w:val="both"/>
      </w:pPr>
      <w:r>
        <w:rPr>
          <w:b/>
        </w:rPr>
        <w:t>3.强化组织收入，加大财政收入统筹力度。</w:t>
      </w:r>
      <w:r>
        <w:t>持续发挥综合治税协调机制作用，形成合力推进收入组织工作。强化税源监测，抓好重点税源征管，及时研究解决组织收入过程中存在的问题。加大对资产、资源的挖掘和盘活力度，助力财政收入增收。严格执行盘活存量资金的要求，对超过规定时间未使用完毕的各级资金，全部盘活统筹安排到急需资金的各类民生及重点项目上。统筹采取调入预算稳定调节基金、调入政府性基金收入不低于20%部分、调入国有资本经营预算收入30%部分等措施增加财力规模，弥补财政收支缺口。</w:t>
      </w:r>
    </w:p>
    <w:p>
      <w:pPr>
        <w:pStyle w:val="10"/>
        <w:spacing w:line="560" w:lineRule="exact"/>
        <w:ind w:firstLine="643"/>
        <w:jc w:val="both"/>
      </w:pPr>
      <w:r>
        <w:rPr>
          <w:b/>
        </w:rPr>
        <w:t>4.加强财政支出统筹，财政支出结构进一步优化。</w:t>
      </w:r>
      <w:r>
        <w:t>坚持以人民为中心的发展思想，聚焦基础性、兜底性民生项目，将一般公共预算支出的70%以上用于民生领域。严格落实“三保”优先的预算安排原则，强化“三保”执行管理，按月实施监控，“三保”资金投入超百亿。支持做好常态化疫情防控。多方筹措资金支持巩固拓展脱贫攻坚成果与乡村振兴有效衔接，其中州本级财政安排1.52亿元，争取乡村振兴债券资金12亿元，助力“厕所革命”、生活垃圾、污水处理、乡村清洁能源建设等项目的实施。坚持勤俭办一切事业，进一步压减非急需、非刚性支出，严控“三公”经费只减不增，将“过紧日子”的要求落实落地。</w:t>
      </w:r>
    </w:p>
    <w:p>
      <w:pPr>
        <w:pStyle w:val="10"/>
        <w:spacing w:line="560" w:lineRule="exact"/>
        <w:ind w:firstLine="643"/>
        <w:jc w:val="both"/>
      </w:pPr>
      <w:r>
        <w:rPr>
          <w:b/>
        </w:rPr>
        <w:t>5.强化政府债务管理，牢牢守住不发生系统性风险的底线。</w:t>
      </w:r>
      <w:r>
        <w:t>严格执行《预算法》和中央、自治区关于加强地方政府债务管理的工作要求，积极规范地方政府举债融资机制，健全限额、预算、预警等全链条政府债务管理体系。坚持在自治区批准的债务限额内，将发行地方政府债券作为政府举借债务的唯一合法途径，坚决杜绝各种违规举债行为。将到期债券还本付息资金全部分类纳入一般公共预算和政府性基金预算，严格履行偿债责任。建立完善政府债务风险等级评定和预警制度。依托地方政府债务监测平台，按计划稳妥化解地方政府隐性债务。</w:t>
      </w:r>
    </w:p>
    <w:p>
      <w:pPr>
        <w:pStyle w:val="10"/>
        <w:spacing w:line="560" w:lineRule="exact"/>
        <w:ind w:firstLine="643"/>
        <w:jc w:val="both"/>
      </w:pPr>
      <w:r>
        <w:rPr>
          <w:b/>
        </w:rPr>
        <w:t>6.推进预算绩效管理，增强预算绩效约束。</w:t>
      </w:r>
      <w:r>
        <w:t>坚决落实全面实施预算绩效管理的决策部署，进一步完善“全方位、全过程、全覆盖”预算绩效管理闭环体系建设，坚持将绩效作为财政资金管理的“底线”，推进预算绩效管理工作“提质增效”。全州各级财政严把预算绩效管理关口，积极推动事前绩效评估工作。加强预算绩效目标管理，对照《自治区分行业分领域共性项目绩效指标体系》设置绩效目标。全方位实施财政支出绩效监控，及时掌握财政资金使用状况，跟踪查找薄弱环节。按照“科学公正、统筹兼顾、激励约束、公开透明”的原则对2020年度共计4013个、涉及金额135亿元的项目支出全面开展绩效自评，进一步提高了财政资源的配置效率和使用效益。</w:t>
      </w:r>
    </w:p>
    <w:p>
      <w:pPr>
        <w:pStyle w:val="10"/>
        <w:spacing w:line="560" w:lineRule="exact"/>
        <w:ind w:firstLine="643"/>
        <w:jc w:val="both"/>
      </w:pPr>
      <w:r>
        <w:rPr>
          <w:b/>
        </w:rPr>
        <w:t>7.深入推进依法理财，财政监管取得新成效。</w:t>
      </w:r>
      <w:r>
        <w:t>运用“一卡通”系统发放惠民惠农资金18.44亿元，受益群众达9.1万人。落实直达资金管理机制，拨付直达资金37.4亿元，通过直达资金监控平台密切监控资金支出进度和流向，确保资金直达市县基层、直接惠企利民。加强巩固脱贫攻坚成果同乡村振兴有效衔接资金监管，建立资金闭环管理、动态监控、监督检查、监管研判调度四项机制。指导全州903家行政事业单位高质量完成内控报告编报工作。开展粮食购销领域腐败问题、供热领域漠视侵害群众利益问题、违规用公款为个人购买补充医疗及其他商业保险、住房公积金缴存和清理规范公务员津贴补贴等专项整治行动。</w:t>
      </w:r>
    </w:p>
    <w:p>
      <w:pPr>
        <w:pStyle w:val="10"/>
        <w:spacing w:line="560" w:lineRule="exact"/>
        <w:ind w:firstLine="643"/>
        <w:jc w:val="both"/>
      </w:pPr>
      <w:r>
        <w:rPr>
          <w:b/>
        </w:rPr>
        <w:t>8.强化财政治理能力，主动接受人大、审计和社会监督。</w:t>
      </w:r>
      <w:r>
        <w:t>严格按照“建立全面规范透明、标准科学、约束有力的预算制度”的要求扎实推进预算管理一体化系统上线，全州各级在一体化系统中全面完成了2022年预算编制和执行测试工作，财政管理信息化水平得到进一步提升。依法接受人大监督，全面贯彻人大预算审查监督重点向支出预算和政策拓展改革的要求，严格履行法定程序，定期向人大常委会报告州本级财政事项。扎实推进人大预算联网监督工作，足额保障监督联网经费。积极做好人大代表建议和政协委员提案的回复工作。主动接受审计监督，积极配合各级审计部门做好年度财政预算执行审计和各类专项审计工作，扎实落实查出问题的整改工作。主动接受社会监督，全面公开政府和部门预决算信息，财政透明度进一步提高。</w:t>
      </w:r>
    </w:p>
    <w:p>
      <w:pPr>
        <w:pStyle w:val="10"/>
        <w:spacing w:line="560" w:lineRule="exact"/>
        <w:ind w:firstLine="640"/>
        <w:jc w:val="both"/>
      </w:pPr>
      <w:r>
        <w:t>在总结成绩的同时，我们也清醒的认识到，当前面临的困难和问题仍然很多，主要包括：税源培育工作力度不够；财政收支矛盾异常突出，收支平衡难度大；财政资金监管需进一步加强；资金的绩效评价及效益发挥还有欠缺；部分地方政府债务风险逐步显现。我们将高度重视这些问题，下大力气采取措施加以解决。</w:t>
      </w:r>
    </w:p>
    <w:p>
      <w:pPr>
        <w:pStyle w:val="11"/>
        <w:spacing w:line="560" w:lineRule="exact"/>
        <w:ind w:firstLine="640"/>
        <w:jc w:val="both"/>
        <w:rPr>
          <w:rFonts w:ascii="黑体" w:hAnsi="黑体" w:eastAsia="黑体"/>
        </w:rPr>
      </w:pPr>
      <w:r>
        <w:rPr>
          <w:rFonts w:ascii="黑体" w:hAnsi="黑体" w:eastAsia="黑体"/>
        </w:rPr>
        <w:t>二、2022年预算草案</w:t>
      </w:r>
    </w:p>
    <w:p>
      <w:pPr>
        <w:pStyle w:val="12"/>
        <w:spacing w:line="560" w:lineRule="exact"/>
        <w:ind w:firstLine="643"/>
        <w:jc w:val="both"/>
        <w:rPr>
          <w:rFonts w:ascii="楷体" w:hAnsi="楷体" w:eastAsia="楷体"/>
        </w:rPr>
      </w:pPr>
      <w:r>
        <w:rPr>
          <w:rFonts w:ascii="楷体" w:hAnsi="楷体" w:eastAsia="楷体"/>
        </w:rPr>
        <w:t>（一）2022年预算编制的指导思想和基本原则</w:t>
      </w:r>
    </w:p>
    <w:p>
      <w:pPr>
        <w:pStyle w:val="10"/>
        <w:spacing w:line="560" w:lineRule="exact"/>
        <w:ind w:firstLine="643"/>
        <w:jc w:val="both"/>
      </w:pPr>
      <w:r>
        <w:rPr>
          <w:b/>
        </w:rPr>
        <w:t>指导思想：</w:t>
      </w:r>
      <w:r>
        <w:t>以习近平新时代中国特色社会主义思想为指导，深入贯彻落实党的十九大和十九届历次全会精神，贯彻落实第三次中央新疆工作座谈会精神，完整准确全面贯彻新时代党的治疆方略，牢牢扭住社会稳定和长治久安总目标，立足新发展阶段、贯彻新发展理念、构建新发展格局，以推动高质量发展为主题，坚持稳字当头、稳中求进，统筹疫情防控和经济社会发展、统筹发展和安全，继续实施积极的财政政策，加强财政资源统筹，调整优化支出结构，继续做好“六稳”“六保”工作，持续改善民生，坚决落实“过紧日子”的要求，坚持厉行节约，严控一般性支出。强化预算绩效管理，加快构建标准科学、规范透明、约束有力的现代预算管理制度。加强风险防控，提升财政可持续性，推动自治州经济社会高质量发展，促进社会大局稳定和长治久安。</w:t>
      </w:r>
    </w:p>
    <w:p>
      <w:pPr>
        <w:pStyle w:val="10"/>
        <w:spacing w:line="560" w:lineRule="exact"/>
        <w:ind w:firstLine="643"/>
        <w:jc w:val="both"/>
      </w:pPr>
      <w:r>
        <w:rPr>
          <w:b/>
        </w:rPr>
        <w:t>基本原则：</w:t>
      </w:r>
      <w:r>
        <w:t>一是量入为出，以收定支。支出预算坚持以收定支、有保有压，按照有多少钱办多少事的原则，从严从紧编制，坚决确保收支平衡。二是精打细算，厉行节约。坚决落实政府“过紧日子”的要求，开源节流，增收节支，大力压减一般性支出，从严控制各类活动。三是坚守底线，严控风险。牢固树立风险意识和底线思维，坚决不触碰违法举债、违规担保的红线，妥善化解隐性债务存量。四是加强管理，提质增效。坚持先有预算后有支出，硬化预算约束力，推动预算管理与绩效管理深度融合，切实提高财政资金使用效益。</w:t>
      </w:r>
    </w:p>
    <w:p>
      <w:pPr>
        <w:pStyle w:val="12"/>
        <w:spacing w:line="560" w:lineRule="exact"/>
        <w:ind w:firstLine="643"/>
        <w:jc w:val="both"/>
        <w:rPr>
          <w:rFonts w:ascii="楷体" w:hAnsi="楷体" w:eastAsia="楷体"/>
        </w:rPr>
      </w:pPr>
      <w:r>
        <w:rPr>
          <w:rFonts w:ascii="楷体" w:hAnsi="楷体" w:eastAsia="楷体"/>
        </w:rPr>
        <w:t>（二）自治州和州本级预算草案</w:t>
      </w:r>
    </w:p>
    <w:p>
      <w:pPr>
        <w:pStyle w:val="10"/>
        <w:spacing w:line="560" w:lineRule="exact"/>
        <w:ind w:firstLine="643"/>
        <w:jc w:val="both"/>
        <w:rPr>
          <w:b/>
        </w:rPr>
      </w:pPr>
      <w:r>
        <w:rPr>
          <w:b/>
        </w:rPr>
        <w:t>1.一般公共预算草案。</w:t>
      </w:r>
    </w:p>
    <w:p>
      <w:pPr>
        <w:pStyle w:val="10"/>
        <w:spacing w:line="560" w:lineRule="exact"/>
        <w:ind w:firstLine="643"/>
        <w:jc w:val="both"/>
      </w:pPr>
      <w:r>
        <w:rPr>
          <w:b/>
        </w:rPr>
        <w:t>自治州一般公共预算草案。</w:t>
      </w:r>
      <w:r>
        <w:t>自治州2022年财政预算收入总计285.71亿元。其中：一般公共预算收入安排169.76亿元，比2021年完成数157.91亿元增加11.85亿元，增长7.5%。其中：税收收入安排129.81亿元，增长14.96%；非税收入安排39.95亿元，下降11.21%。上级补助收入85.39亿元（按自治区财政2022年提前下达转移支付数安排），上年结余16.56亿元，动用预算稳定调节基金4亿元，地方政府一般债务转贷收入10亿元。2022年自治州预算支出总计271.73亿元。其中：一般公共预算支出安排253.27亿元，比2021年年初预算243.08亿元增加10.2亿元，增长4.19%。上解上级支出2.96亿元，地方政府一般债务还本支出15.5亿元。收支相抵，年终结余13.98亿元，其中，结转下年支出13.98亿元，净结余为零。</w:t>
      </w:r>
    </w:p>
    <w:p>
      <w:pPr>
        <w:pStyle w:val="10"/>
        <w:spacing w:line="560" w:lineRule="exact"/>
        <w:ind w:firstLine="643"/>
        <w:jc w:val="both"/>
      </w:pPr>
      <w:r>
        <w:rPr>
          <w:b/>
        </w:rPr>
        <w:t>州本级一般公共预算草案。</w:t>
      </w:r>
      <w:r>
        <w:t>州本级2022年财政预算收入总计104.26亿元，其中：一般公共预算收入安排9.2亿元，比2021年年初预算13.2亿元减少4亿元，下降30.3%，主要是2021年调整准东分税体制，准东开发区税收收入不再通过线上上划，而是采用线下上解的方式执行，导致州本级税收收入减少。其中：税收收入安排5亿元，比2021年年初预算减少4亿元，下降44.4%；非税收入安排4.2亿元，与2021年年初预算收入持平；上级补助收入23.11亿元，准东体制上解收入46.81亿元，下级上解收入4.1亿元，上年结余6.87亿元，调入资金0.17亿元，动用预算稳定调节基金4亿元，地方政府一般债务转贷收入10亿元。州本级预算支出总计104.26亿元，其中：一般公共预算支出安排55.15亿元，比2021年年初预算41.55亿元增加13.6亿元，增长32.74%。对下补助支出37.43亿元，上解上级支出0.26亿元，地方政府一般债务还本支出1.42亿元，地方政府一般债务转贷支出10亿元。收支相抵，当年收支平衡。</w:t>
      </w:r>
    </w:p>
    <w:p>
      <w:pPr>
        <w:pStyle w:val="10"/>
        <w:spacing w:line="560" w:lineRule="exact"/>
        <w:ind w:firstLine="643"/>
        <w:jc w:val="both"/>
        <w:rPr>
          <w:b/>
        </w:rPr>
      </w:pPr>
      <w:r>
        <w:rPr>
          <w:b/>
        </w:rPr>
        <w:t>2.政府性基金预算草案。</w:t>
      </w:r>
    </w:p>
    <w:p>
      <w:pPr>
        <w:pStyle w:val="10"/>
        <w:spacing w:line="560" w:lineRule="exact"/>
        <w:ind w:firstLine="643"/>
        <w:jc w:val="both"/>
      </w:pPr>
      <w:r>
        <w:rPr>
          <w:b/>
        </w:rPr>
        <w:t>自治州政府性基金预算草案。</w:t>
      </w:r>
      <w:r>
        <w:t>自治州政府性基金总收入53.78亿元，其中：政府性基金预算收入安排47.43亿元，比2021年完成数41.87亿元增加5.56亿元，增长13.28%。上级补助收入0.3亿元，地方政府专项债务转贷收入4亿元，上年结余2.05亿元。自治州政府性基金总支出安排53.78亿元，其中：政府性基金支出安排36.76亿元，比2021年完成数104.98亿元减少68.22亿元，下降64.98%。调出资金2.15亿元，地方政府专项债务还本支出14.87亿元。收支相抵，当年收支平衡。</w:t>
      </w:r>
    </w:p>
    <w:p>
      <w:pPr>
        <w:pStyle w:val="10"/>
        <w:spacing w:line="560" w:lineRule="exact"/>
        <w:ind w:firstLine="643"/>
        <w:jc w:val="both"/>
      </w:pPr>
      <w:r>
        <w:rPr>
          <w:b/>
        </w:rPr>
        <w:t>州本级政府性基金预算草案。</w:t>
      </w:r>
      <w:r>
        <w:t>州本级政府性基金总收入5.78亿元，其中：政府性基金预算收入安排1.46亿元，比2021年完成数1.04亿元增加了0.42亿元，增长40.69%。上级补助收入0.06亿元，地方政府专项债务转贷收入4亿元，上年结余0.26亿元。州本级政府性基金总支出安排5.46亿元，其中：政府性基金支出安排1.36亿元，比2021年完成数15.29亿元减少13.93亿元，下降91.13%。调出资金0.1亿元，地方政府专项债务转贷支出4亿元。收支相抵，当年结余0.32亿元。</w:t>
      </w:r>
    </w:p>
    <w:p>
      <w:pPr>
        <w:pStyle w:val="10"/>
        <w:spacing w:line="560" w:lineRule="exact"/>
        <w:ind w:firstLine="643"/>
        <w:jc w:val="both"/>
        <w:rPr>
          <w:b/>
        </w:rPr>
      </w:pPr>
      <w:r>
        <w:rPr>
          <w:b/>
        </w:rPr>
        <w:t>3.国有资本经营预算草案。</w:t>
      </w:r>
    </w:p>
    <w:p>
      <w:pPr>
        <w:pStyle w:val="10"/>
        <w:spacing w:line="560" w:lineRule="exact"/>
        <w:ind w:firstLine="643"/>
        <w:jc w:val="both"/>
      </w:pPr>
      <w:r>
        <w:rPr>
          <w:b/>
        </w:rPr>
        <w:t>自治州国有资本经营预算草案。</w:t>
      </w:r>
      <w:r>
        <w:t>自治州国有资本经营预算收入总计0.49亿元，其中：国有资本经营预算收入安排0.39亿元，上级补助收入0.03亿，上年结余0.07亿元。自治州国有资本经营预算支出总计0.49亿元，其中：国有资本经营预算支出安排0.38亿，调出资金0.11亿元。收支相抵，当年收支平衡。</w:t>
      </w:r>
    </w:p>
    <w:p>
      <w:pPr>
        <w:pStyle w:val="10"/>
        <w:spacing w:line="560" w:lineRule="exact"/>
        <w:ind w:firstLine="643"/>
        <w:jc w:val="both"/>
      </w:pPr>
      <w:r>
        <w:rPr>
          <w:b/>
        </w:rPr>
        <w:t>州本级国有资本经营预算草案。</w:t>
      </w:r>
      <w:r>
        <w:t>州本级国有资本经营预算收入总计0.2亿元，其中：国有资本经营预算收入安排0.17亿元，上级补助收入0.03亿元。州本级国有资本经营预算支出总计0.2亿元，其中：国有资本经营预算支出安排0.15亿，调出资金0.05亿元。收支相抵，当年收支平衡。</w:t>
      </w:r>
    </w:p>
    <w:p>
      <w:pPr>
        <w:pStyle w:val="10"/>
        <w:spacing w:line="560" w:lineRule="exact"/>
        <w:ind w:firstLine="643"/>
        <w:jc w:val="both"/>
        <w:rPr>
          <w:b/>
        </w:rPr>
      </w:pPr>
      <w:r>
        <w:rPr>
          <w:b/>
        </w:rPr>
        <w:t>4.社会保险基金预算草案。</w:t>
      </w:r>
    </w:p>
    <w:p>
      <w:pPr>
        <w:pStyle w:val="10"/>
        <w:spacing w:line="560" w:lineRule="exact"/>
        <w:ind w:firstLine="643"/>
        <w:jc w:val="both"/>
      </w:pPr>
      <w:r>
        <w:rPr>
          <w:b/>
        </w:rPr>
        <w:t>自治州社会保险基金预算草案。</w:t>
      </w:r>
      <w:r>
        <w:t>自治州社保基金预算收入安排61.7亿元，比2021年完成数增加3.62亿元，增长6.24%。其中：保险费收入38.85亿元，财政补贴收入21.46亿元，其他各项收入1.39亿元。加上上年结余58.63亿元、机关事业单位养老保险上级净补收入1.51亿元，收入总量121.84亿元。自治州社会保险基金支出安排53.17亿元，较上年增支2.93亿元，增幅5.83%。收支相抵，年终结余68.67亿元。</w:t>
      </w:r>
    </w:p>
    <w:p>
      <w:pPr>
        <w:pStyle w:val="10"/>
        <w:spacing w:line="560" w:lineRule="exact"/>
        <w:ind w:firstLine="643"/>
        <w:jc w:val="both"/>
      </w:pPr>
      <w:r>
        <w:rPr>
          <w:b/>
        </w:rPr>
        <w:t>州本级社会保险基金预算草案。</w:t>
      </w:r>
      <w:r>
        <w:t>州本级社保基金预算收入安排41.01亿元，其中：保险费收入29.03亿元，财政补贴收入11.26亿元，其他各项收入0.72亿元。加上上年结余46.13亿元、机关事业单位养老保险上级净补0.52亿元，收入总量87.66亿元。州本级社保基金支出安排33.65亿元，收支相抵，年终滚存结余54.01亿元。</w:t>
      </w:r>
    </w:p>
    <w:p>
      <w:pPr>
        <w:pStyle w:val="12"/>
        <w:spacing w:line="560" w:lineRule="exact"/>
        <w:ind w:firstLine="643"/>
        <w:jc w:val="both"/>
        <w:rPr>
          <w:rFonts w:ascii="楷体" w:hAnsi="楷体" w:eastAsia="楷体"/>
        </w:rPr>
      </w:pPr>
      <w:r>
        <w:rPr>
          <w:rFonts w:ascii="楷体" w:hAnsi="楷体" w:eastAsia="楷体"/>
        </w:rPr>
        <w:t>（三）准东经济技术开发区预算草案</w:t>
      </w:r>
    </w:p>
    <w:p>
      <w:pPr>
        <w:pStyle w:val="10"/>
        <w:spacing w:line="560" w:lineRule="exact"/>
        <w:ind w:firstLine="643"/>
        <w:jc w:val="both"/>
        <w:rPr>
          <w:b/>
        </w:rPr>
      </w:pPr>
      <w:r>
        <w:rPr>
          <w:b/>
        </w:rPr>
        <w:t>1.一般公共预算草案。</w:t>
      </w:r>
      <w:r>
        <w:t>准东经济技术开发区2022年财政预算收入总计68.82亿元，其中：一般公共预算收入安排52.5亿元，比2021年年初预算29.58亿元增加22.92亿元，增长77.5%；上级补助收入0.51亿元，上年结余0.05亿元，调入资金0.01亿元，动用预算稳定调节基金15.75亿元。财政预算支出总计68.82亿元，其中：一般公共预算支出安排21.29亿元，比2021年年初预算11.47亿元增加9.82亿元，增长85.6%。上解上级支出46.91亿元，地方政府一般债务还本支出0.62亿元。收支相抵，当年收支平衡。</w:t>
      </w:r>
    </w:p>
    <w:p>
      <w:pPr>
        <w:pStyle w:val="10"/>
        <w:spacing w:line="560" w:lineRule="exact"/>
        <w:ind w:firstLine="643"/>
        <w:jc w:val="both"/>
        <w:rPr>
          <w:b/>
        </w:rPr>
      </w:pPr>
      <w:r>
        <w:rPr>
          <w:b/>
        </w:rPr>
        <w:t>2.政府性基金预算草案。</w:t>
      </w:r>
      <w:r>
        <w:t>准东经济技术开发区2022年政府性基金总收入2.26亿元，其中：政府性基金预算收入安排2亿元，比2021年完成数1.55亿元增加0.4亿元，增长25.8%。上年结余0.26亿元。政府性基金总支出安排2.18亿元，其中：政府性基金支出安排1.7亿元，比2021年完成数8.22亿元减少6.52亿元，下降78.4%。地方政府专项债务还本支出0.48亿元。收支相抵，年终结余0.08亿元。</w:t>
      </w:r>
    </w:p>
    <w:p>
      <w:pPr>
        <w:pStyle w:val="10"/>
        <w:spacing w:line="560" w:lineRule="exact"/>
        <w:ind w:firstLine="643"/>
        <w:jc w:val="both"/>
        <w:rPr>
          <w:b/>
        </w:rPr>
      </w:pPr>
      <w:r>
        <w:rPr>
          <w:b/>
        </w:rPr>
        <w:t>3.国有资本经营预算草案。</w:t>
      </w:r>
      <w:r>
        <w:t>准东经济技术开发区2022年国有资本经营预算收入总计0.04亿元，其中：国有资本经营预算收入安排0.04亿元。国有资本经营预算支出总计0.04亿元，其中：国有资本经营预算支出安排0.03亿元，调出资金0.01亿元。收支相抵，当年收支平衡。</w:t>
      </w:r>
    </w:p>
    <w:p>
      <w:pPr>
        <w:pStyle w:val="12"/>
        <w:spacing w:line="560" w:lineRule="exact"/>
        <w:ind w:firstLine="643"/>
        <w:jc w:val="both"/>
        <w:rPr>
          <w:rFonts w:ascii="楷体" w:hAnsi="楷体" w:eastAsia="楷体"/>
        </w:rPr>
      </w:pPr>
      <w:r>
        <w:rPr>
          <w:rFonts w:ascii="楷体" w:hAnsi="楷体" w:eastAsia="楷体"/>
        </w:rPr>
        <w:t>（四）农业园区预算草案</w:t>
      </w:r>
    </w:p>
    <w:p>
      <w:pPr>
        <w:pStyle w:val="10"/>
        <w:spacing w:line="560" w:lineRule="exact"/>
        <w:ind w:firstLine="643"/>
        <w:jc w:val="both"/>
        <w:rPr>
          <w:b/>
        </w:rPr>
      </w:pPr>
      <w:r>
        <w:rPr>
          <w:b/>
        </w:rPr>
        <w:t>1.一般公共预算草案。</w:t>
      </w:r>
      <w:r>
        <w:t>农业园区2022年财政预算收入总计5.76亿元，其中：一般公共预算收入安排5.27亿元，比2021年年初预算5.46亿元减少0.19亿元，下降3.48%；上级补助收入0.16亿元，上年结余0.28亿元，调入资金0.02亿元，动用预算稳定调节基金0.03亿元。财政预算支出总计5.76亿元，其中：一般公共预算支出安排4.66亿元，比2021年年初预算4.36亿元增加0.3亿元，增长6.88%。上解上级支出0.13亿元，地方政府一般债务还本支出0.97亿元。收支相抵，当年收支平衡。</w:t>
      </w:r>
    </w:p>
    <w:p>
      <w:pPr>
        <w:pStyle w:val="10"/>
        <w:spacing w:line="560" w:lineRule="exact"/>
        <w:ind w:firstLine="643"/>
        <w:jc w:val="both"/>
        <w:rPr>
          <w:b/>
        </w:rPr>
      </w:pPr>
      <w:r>
        <w:rPr>
          <w:b/>
        </w:rPr>
        <w:t>2.政府性基金预算草案。</w:t>
      </w:r>
      <w:r>
        <w:t>农业园区2022年政府性基金总收入1.77亿元，其中：政府性基金预算收入安排1.59亿元，比2021年完成数5.25亿元减少3.66亿元，下降69.71%。上年结余0.18亿元。政府性基金总支出安排1.77亿元，其中：政府性基金支出安排1.77亿元，比2021年完成数5.48亿元减少3.71亿元，下降67.7%。收支相抵，当年收支平衡。</w:t>
      </w:r>
    </w:p>
    <w:p>
      <w:pPr>
        <w:pStyle w:val="10"/>
        <w:spacing w:line="560" w:lineRule="exact"/>
        <w:ind w:firstLine="643"/>
        <w:jc w:val="both"/>
        <w:rPr>
          <w:b/>
        </w:rPr>
      </w:pPr>
      <w:r>
        <w:rPr>
          <w:b/>
        </w:rPr>
        <w:t>3.国有资本经营预算草案。</w:t>
      </w:r>
      <w:r>
        <w:t>农业园区2022年国有资本经营预算收入总计0.07亿元，其中：国有资本经营预算收入安排0.07亿元。国有资本经营预算支出总计0.07亿元，其中：国有资本经营预算支出安排0.05亿元，调出资金0.02亿元。收支相抵，当年收支平衡。</w:t>
      </w:r>
    </w:p>
    <w:p>
      <w:pPr>
        <w:pStyle w:val="11"/>
        <w:spacing w:line="560" w:lineRule="exact"/>
        <w:ind w:firstLine="640"/>
        <w:jc w:val="both"/>
        <w:rPr>
          <w:rFonts w:ascii="黑体" w:hAnsi="黑体" w:eastAsia="黑体"/>
        </w:rPr>
      </w:pPr>
      <w:r>
        <w:rPr>
          <w:rFonts w:ascii="黑体" w:hAnsi="黑体" w:eastAsia="黑体"/>
        </w:rPr>
        <w:t>三、扎实做好2022年财政改革和预算管理工作</w:t>
      </w:r>
    </w:p>
    <w:p>
      <w:pPr>
        <w:pStyle w:val="10"/>
        <w:spacing w:line="560" w:lineRule="exact"/>
        <w:ind w:firstLine="643"/>
        <w:jc w:val="both"/>
      </w:pPr>
      <w:r>
        <w:rPr>
          <w:rStyle w:val="13"/>
        </w:rPr>
        <w:t>（一）依法依规组织收入，不断提高财政收入质量。</w:t>
      </w:r>
      <w:r>
        <w:t>紧盯全年收入目标，扎实落实组织收入责任，认真做好组织收入工作，更加注重对全年收入序时进度的把握。全面落实减税降费政策。强化对重点税源、重点企业和重点税种的征管，依法征税，不断提高财政收入质量。加大对各类资源、资产的处置力度，挖掘增收潜力。严格财政收入组织纪律，严禁采取“虚收空转”的方式虚增财政收入。</w:t>
      </w:r>
    </w:p>
    <w:p>
      <w:pPr>
        <w:pStyle w:val="10"/>
        <w:spacing w:line="560" w:lineRule="exact"/>
        <w:ind w:firstLine="643"/>
        <w:jc w:val="both"/>
      </w:pPr>
      <w:r>
        <w:rPr>
          <w:rStyle w:val="13"/>
        </w:rPr>
        <w:t>（二）强化重点项目保障，切实兜牢基层“三保”底线。</w:t>
      </w:r>
      <w:r>
        <w:t>加强对党中央和区州重大战略、重要任务和重点改革的财力保障研究，落实重点项目保障，推动重大战略任务落实落地。坚持着力保障和改善民生。严格落实“三保”优先的预算安排原则，重点关注教师工资、机关事业单位人员、离退休人员工资福利和民生款项发放情况，切实兜牢基层“三保”底线。财政支出安排坚持尽力而为、量力而行，强化财政可承受能力评估，不自行出台提高工资津贴补贴和民生支出标准的政策，确保财政可持续性。进一步提高财政支出强度，加快支出进度。严把预算支出关口，进一步压减非急需、非刚性支出，坚决不安排楼堂馆所建设资金。严肃财经纪律，巩固和强化“三公”经费管理，确保“三公”经费只减不增。</w:t>
      </w:r>
    </w:p>
    <w:p>
      <w:pPr>
        <w:pStyle w:val="10"/>
        <w:spacing w:line="560" w:lineRule="exact"/>
        <w:ind w:firstLine="643"/>
        <w:jc w:val="both"/>
      </w:pPr>
      <w:r>
        <w:rPr>
          <w:rStyle w:val="13"/>
        </w:rPr>
        <w:t>（三）加快推进财税体制改革，提高财政治理能力。</w:t>
      </w:r>
      <w:r>
        <w:t>进一步完善州与县市收入分配体制，增强州本级财政统筹调控能力。稳步推进州与县市重点领域财政事权和支出责任划分改革。利用预算管理一体化系统规范和统一预算管理工作流程、要素和原则，细化部门预算编制。落实项目全生命周期管理改革要求，推动预算管理全链条工作形成机制整体，进一步健全政府预算体系。规范财政供养人员管理，落实临聘人员实名制管理，严禁超出财政承受能力增加财政供养人员，确保财政供养人员只减不增。继续做好直达资金管理，确保资金直达市县基层、直接惠企利民。</w:t>
      </w:r>
    </w:p>
    <w:p>
      <w:pPr>
        <w:pStyle w:val="10"/>
        <w:spacing w:line="560" w:lineRule="exact"/>
        <w:ind w:firstLine="643"/>
        <w:jc w:val="both"/>
      </w:pPr>
      <w:r>
        <w:rPr>
          <w:rStyle w:val="13"/>
        </w:rPr>
        <w:t>（四）坚守政府债务红线底线，严格地方政府债务管理。</w:t>
      </w:r>
      <w:r>
        <w:t>牢固树立风险意识和底线思维，聚焦防范化解重大风险，继续按照稳定大局、统筹协调、分类施策、精准拆弹的方针抓好风险处置工作。严禁任何部门和单位以任何形式违规举债。扎实开展项目库储备工作，严格专项债券项目合规性审核和风险把控。落实债券资金全过程管理和穿透式监管。推进债券项目建设，抓好债券资金支出规范性管理，提升支出进度。严格落实地方政府债券和政府隐性债务到期偿还责任，确保地方政府债务管理不出任何问题。</w:t>
      </w:r>
    </w:p>
    <w:p>
      <w:pPr>
        <w:pStyle w:val="10"/>
        <w:spacing w:line="560" w:lineRule="exact"/>
        <w:ind w:firstLine="643"/>
        <w:jc w:val="both"/>
      </w:pPr>
      <w:r>
        <w:rPr>
          <w:rStyle w:val="13"/>
        </w:rPr>
        <w:t>（五）推进预算绩效深度融合，促进绩效管理提质增效。</w:t>
      </w:r>
      <w:r>
        <w:t>继续贯彻落实中央、自治区全面实施预算绩效管理的决策部署，健全完善全方位、全过程、全覆盖的预算绩效闭环管理体系，以结果为导向，强化绩效目标管理，做实绩效监控，提高绩效评价质量，加强绩效结果应用和公开。完善重大项目事前绩效评估机制，强化成本效益分析。将绩效管理实质性嵌入预算管理流程，推进预算和绩效管理一体化，促进预算绩效管理提质增效。</w:t>
      </w:r>
    </w:p>
    <w:p>
      <w:pPr>
        <w:pStyle w:val="10"/>
        <w:spacing w:line="560" w:lineRule="exact"/>
        <w:ind w:firstLine="643"/>
        <w:jc w:val="both"/>
      </w:pPr>
      <w:r>
        <w:rPr>
          <w:rStyle w:val="13"/>
        </w:rPr>
        <w:t>（六）健全制度机制，强化财政管理监督</w:t>
      </w:r>
      <w:r>
        <w:t>。落实人大预算审查监督重点向支出预算和政策拓展，紧紧围绕区州党委重大决策部署和重点项目完善预算报告和草案编制。认真落实人大及其常委会有关预算决算决议，做好人大代表建议和政协委员提案的回复工作。积极配合推进预算联网监督。积极支持和配合审计、巡视、督查等监督检查，注重审计结果应用，完善政策制度，提升财政管理水平。强化财政内控监督，将内控监督嵌入财政主体业务，加强对预算编制、预算执行、预决算公开、政府采购、资产管理、政府债务管理等方面的全过程监督。</w:t>
      </w:r>
    </w:p>
    <w:p>
      <w:pPr>
        <w:pStyle w:val="10"/>
        <w:spacing w:line="560" w:lineRule="exact"/>
        <w:ind w:firstLine="640"/>
        <w:jc w:val="both"/>
      </w:pPr>
      <w:r>
        <w:t>各位代表，做好2022年财政收支预算工作任务艰巨繁重，我们将在州党委的领导下，依法接受人大的法律监督和工作监督，自觉接受政协的民主监督，树牢底线思维，求真务实、真抓实干，力戒形式主义、官僚主义，推动高质量发展，不断开创昌吉州改革发展稳定新局面，为建设团结和谐、繁荣富裕、文明进步、安居乐业、生态良好的新时代中国特色社会主义新疆贡献昌吉力量。</w:t>
      </w:r>
    </w:p>
    <w:p>
      <w:pPr>
        <w:pStyle w:val="10"/>
        <w:spacing w:line="560" w:lineRule="exact"/>
        <w:ind w:firstLine="640"/>
      </w:pPr>
    </w:p>
    <w:p>
      <w:pPr>
        <w:pStyle w:val="10"/>
        <w:spacing w:line="560" w:lineRule="exact"/>
        <w:ind w:firstLine="640"/>
      </w:pPr>
    </w:p>
    <w:p>
      <w:pPr>
        <w:pStyle w:val="10"/>
        <w:spacing w:line="560" w:lineRule="exact"/>
        <w:ind w:firstLine="640"/>
      </w:pPr>
    </w:p>
    <w:p>
      <w:pPr>
        <w:pStyle w:val="10"/>
        <w:spacing w:line="560" w:lineRule="exact"/>
        <w:ind w:firstLine="640"/>
      </w:pPr>
    </w:p>
    <w:p>
      <w:pPr>
        <w:spacing w:line="560" w:lineRule="exact"/>
        <w:sectPr>
          <w:footnotePr>
            <w:numFmt w:val="decimalEnclosedCircleChinese"/>
          </w:footnotePr>
          <w:pgSz w:w="11907" w:h="16726"/>
          <w:pgMar w:top="2041" w:right="1701" w:bottom="1927" w:left="1417" w:header="720" w:footer="720" w:gutter="0"/>
          <w:pgNumType w:fmt="numberInDash"/>
          <w:cols w:space="720" w:num="1"/>
        </w:sectPr>
      </w:pPr>
    </w:p>
    <w:p>
      <w:pPr>
        <w:pStyle w:val="10"/>
        <w:spacing w:line="560" w:lineRule="exact"/>
        <w:ind w:firstLine="640"/>
      </w:pPr>
    </w:p>
    <w:p>
      <w:pPr>
        <w:pStyle w:val="14"/>
        <w:spacing w:line="560" w:lineRule="exact"/>
      </w:pPr>
      <w:r>
        <w:t>名词解释</w:t>
      </w:r>
    </w:p>
    <w:p>
      <w:pPr>
        <w:pStyle w:val="10"/>
        <w:spacing w:line="560" w:lineRule="exact"/>
        <w:ind w:firstLine="640"/>
      </w:pPr>
    </w:p>
    <w:p>
      <w:pPr>
        <w:pStyle w:val="10"/>
        <w:spacing w:line="560" w:lineRule="exact"/>
        <w:ind w:firstLine="640"/>
        <w:jc w:val="both"/>
      </w:pPr>
      <w:r>
        <w:t>一般公共预算：原公共财政预算，按照预算法要求，更名为一般公共预算。是指政府凭借国家政治权力，以社会管理者身份筹集以税收为主体的财政收入，用于保障和改善民生、维持国家行政职能正常行使、保障国家安全等方面的收支预算。地方一般公共预算收入包括：地方本级预算收入、转移性收入、调入预算稳定调节基金、地方政府债券收入和上年结余收入。地方一般公共预算支出编制内容包括地方本级预算支出、转移性支出、地方政府债券还本支出、安排预算稳定调节基金、增设预算周转金和年终结余。</w:t>
      </w:r>
    </w:p>
    <w:p>
      <w:pPr>
        <w:pStyle w:val="10"/>
        <w:spacing w:line="560" w:lineRule="exact"/>
        <w:ind w:firstLine="640"/>
        <w:jc w:val="both"/>
      </w:pPr>
      <w:r>
        <w:t>政府性基金预算：指政府通过向社会征收基金、收费，以及出让土地、发行彩票等方式取得收入，专项用于支持特定基础设施建设和社会事业发展等方面的收支预算。地方政府性基金收入预算编制内容包括地方本级收入、转移性收入和上年结余收入。地方政府性基金支出预算编制内容包括地方本级支出、转移性支出、年终结余。</w:t>
      </w:r>
    </w:p>
    <w:p>
      <w:pPr>
        <w:pStyle w:val="10"/>
        <w:spacing w:line="560" w:lineRule="exact"/>
        <w:ind w:firstLine="640"/>
        <w:jc w:val="both"/>
      </w:pPr>
      <w:r>
        <w:t>国有资本经营预算：国有资本经营预算，是指国家以所有者身份依法取得国有资本收益，并对所得收益进行分配而发生的各项收支预算，是政府预算的重要组成部分。</w:t>
      </w:r>
    </w:p>
    <w:p>
      <w:pPr>
        <w:pStyle w:val="10"/>
        <w:spacing w:line="560" w:lineRule="exact"/>
        <w:ind w:firstLine="640"/>
        <w:jc w:val="both"/>
      </w:pPr>
      <w:r>
        <w:t>社会保险基金预算：社会保险基金预算是根据《中华人民共和国预算法》、《中华人民共和国社会保险法》等法律法规建立、按规定程序审批通过、反映各项社会保险基金收支的年度计划。</w:t>
      </w:r>
    </w:p>
    <w:p>
      <w:pPr>
        <w:pStyle w:val="10"/>
        <w:spacing w:line="560" w:lineRule="exact"/>
        <w:ind w:firstLine="640"/>
        <w:jc w:val="both"/>
      </w:pPr>
      <w:r>
        <w:t>调入资金：是指各级财政因平衡当年一般公共预算收支，而从基金结余和其他渠道调入的资金。</w:t>
      </w:r>
    </w:p>
    <w:p>
      <w:pPr>
        <w:pStyle w:val="10"/>
        <w:spacing w:line="560" w:lineRule="exact"/>
        <w:ind w:firstLine="640"/>
        <w:jc w:val="both"/>
      </w:pPr>
      <w:r>
        <w:t>预算稳定调节基金：指各级财政通过超收安排的具有储备性质的基金，用于弥补短收年份预算执行的收支缺口，以及根据预算平衡情况，在安排年初预算时调入并安排使用，安排或补充基金时在支出方反映，调入使用基金时在收入方反映。</w:t>
      </w:r>
    </w:p>
    <w:p>
      <w:pPr>
        <w:pStyle w:val="10"/>
        <w:spacing w:line="560" w:lineRule="exact"/>
        <w:ind w:firstLine="640"/>
        <w:jc w:val="both"/>
      </w:pPr>
      <w:r>
        <w:t>预备费：按照《中华人民共和国预算法》，各级政府预算应当按照本级政府预算支出额的1%至3%设置预备费，用于当年预算执行中的自然灾害救灾开支及其他难以预见的特殊开支。</w:t>
      </w:r>
    </w:p>
    <w:p>
      <w:pPr>
        <w:pStyle w:val="10"/>
        <w:spacing w:line="560" w:lineRule="exact"/>
        <w:ind w:firstLine="640"/>
        <w:jc w:val="both"/>
      </w:pPr>
      <w:r>
        <w:t>政府债务限额管理：根据预算法和国务院关于加强政府性债务管理的规定，中央对地方政府债务余额实行限额管理，地方政府债务余额不得突破批准的限额。地方政府在国务院批准的限额内提出本地区政府债务限额，报同级人大常委会批准，并在批准的限额内举借和偿还债务。</w:t>
      </w:r>
    </w:p>
    <w:p>
      <w:pPr>
        <w:pStyle w:val="10"/>
        <w:spacing w:line="560" w:lineRule="exact"/>
        <w:ind w:firstLine="640"/>
        <w:jc w:val="both"/>
      </w:pPr>
      <w:r>
        <w:t>地方政府一般债券：没有收益的公益性事业发展融资，由地方政府发行主要以一般公共预算资金偿还的政府债券。</w:t>
      </w:r>
    </w:p>
    <w:p>
      <w:pPr>
        <w:widowControl/>
        <w:spacing w:line="560" w:lineRule="exact"/>
        <w:jc w:val="both"/>
        <w:outlineLvl w:val="1"/>
        <w:rPr>
          <w:rFonts w:ascii="Times New Roman" w:hAnsi="Times New Roman" w:eastAsia="仿宋_GB2312" w:cstheme="minorBidi"/>
          <w:color w:val="000000"/>
          <w:kern w:val="0"/>
          <w:sz w:val="32"/>
          <w:szCs w:val="32"/>
        </w:rPr>
      </w:pPr>
      <w:r>
        <w:rPr>
          <w:rFonts w:ascii="Times New Roman" w:hAnsi="Times New Roman" w:eastAsia="仿宋_GB2312" w:cstheme="minorBidi"/>
          <w:color w:val="000000"/>
          <w:kern w:val="0"/>
          <w:sz w:val="32"/>
          <w:szCs w:val="32"/>
        </w:rPr>
        <w:t>地方政府专项债券：有一定收益的公益性事业发展融资，由地方政府发行主要以对应的政府性基金预算或专项收入偿还的政府债券。</w:t>
      </w:r>
    </w:p>
    <w:p>
      <w:pPr>
        <w:widowControl/>
        <w:jc w:val="both"/>
        <w:outlineLvl w:val="1"/>
        <w:rPr>
          <w:rFonts w:ascii="Times New Roman" w:hAnsi="Times New Roman" w:eastAsia="仿宋_GB2312" w:cstheme="minorBidi"/>
          <w:color w:val="000000"/>
          <w:kern w:val="0"/>
          <w:sz w:val="32"/>
          <w:szCs w:val="32"/>
        </w:rPr>
      </w:pPr>
    </w:p>
    <w:p>
      <w:pPr>
        <w:widowControl/>
        <w:jc w:val="center"/>
        <w:outlineLvl w:val="1"/>
        <w:rPr>
          <w:rFonts w:ascii="黑体" w:hAnsi="黑体" w:eastAsia="黑体"/>
          <w:kern w:val="0"/>
          <w:sz w:val="32"/>
          <w:szCs w:val="32"/>
          <w:lang w:eastAsia="zh-Hans"/>
        </w:rPr>
      </w:pPr>
      <w:r>
        <w:rPr>
          <w:rFonts w:ascii="黑体" w:hAnsi="黑体" w:eastAsia="黑体"/>
          <w:kern w:val="0"/>
          <w:sz w:val="32"/>
          <w:szCs w:val="32"/>
          <w:lang w:eastAsia="zh-Hans"/>
        </w:rPr>
        <w:t>第</w:t>
      </w:r>
      <w:r>
        <w:rPr>
          <w:rFonts w:hint="eastAsia" w:ascii="黑体" w:hAnsi="黑体" w:eastAsia="黑体"/>
          <w:kern w:val="0"/>
          <w:sz w:val="32"/>
          <w:szCs w:val="32"/>
          <w:lang w:eastAsia="zh-Hans"/>
        </w:rPr>
        <w:t>二</w:t>
      </w:r>
      <w:r>
        <w:rPr>
          <w:rFonts w:ascii="黑体" w:hAnsi="黑体" w:eastAsia="黑体"/>
          <w:kern w:val="0"/>
          <w:sz w:val="32"/>
          <w:szCs w:val="32"/>
          <w:lang w:eastAsia="zh-Hans"/>
        </w:rPr>
        <w:t xml:space="preserve">部分 </w:t>
      </w:r>
      <w:r>
        <w:rPr>
          <w:rFonts w:hint="eastAsia" w:ascii="黑体" w:hAnsi="黑体" w:eastAsia="黑体"/>
          <w:kern w:val="0"/>
          <w:sz w:val="32"/>
          <w:szCs w:val="32"/>
          <w:lang w:eastAsia="zh-Hans"/>
        </w:rPr>
        <w:t>“四本”</w:t>
      </w:r>
      <w:r>
        <w:rPr>
          <w:rFonts w:ascii="黑体" w:hAnsi="黑体" w:eastAsia="黑体"/>
          <w:kern w:val="0"/>
          <w:sz w:val="32"/>
          <w:szCs w:val="32"/>
          <w:lang w:eastAsia="zh-Hans"/>
        </w:rPr>
        <w:t>预算公开表</w:t>
      </w:r>
    </w:p>
    <w:p>
      <w:pPr>
        <w:tabs>
          <w:tab w:val="left" w:pos="2148"/>
        </w:tabs>
        <w:spacing w:before="190" w:line="350" w:lineRule="auto"/>
        <w:ind w:right="3265" w:firstLine="640" w:firstLineChars="200"/>
        <w:rPr>
          <w:rFonts w:ascii="黑体" w:hAnsi="黑体" w:eastAsia="黑体" w:cs="宋体"/>
          <w:bCs/>
          <w:kern w:val="0"/>
          <w:sz w:val="32"/>
          <w:szCs w:val="32"/>
          <w:lang w:eastAsia="zh-Hans"/>
        </w:rPr>
      </w:pPr>
      <w:r>
        <w:rPr>
          <w:rFonts w:hint="eastAsia" w:ascii="黑体" w:hAnsi="黑体" w:eastAsia="黑体" w:cs="宋体"/>
          <w:bCs/>
          <w:kern w:val="0"/>
          <w:sz w:val="32"/>
          <w:szCs w:val="32"/>
          <w:lang w:eastAsia="zh-Hans"/>
        </w:rPr>
        <w:t>一、一般公共预算</w:t>
      </w:r>
      <w:r>
        <w:rPr>
          <w:rFonts w:hint="eastAsia" w:ascii="黑体" w:hAnsi="黑体" w:eastAsia="黑体" w:cs="宋体"/>
          <w:bCs/>
          <w:kern w:val="0"/>
          <w:sz w:val="32"/>
          <w:szCs w:val="32"/>
        </w:rPr>
        <w:t>公开</w:t>
      </w:r>
      <w:r>
        <w:rPr>
          <w:rFonts w:hint="eastAsia" w:ascii="黑体" w:hAnsi="黑体" w:eastAsia="黑体" w:cs="宋体"/>
          <w:bCs/>
          <w:kern w:val="0"/>
          <w:sz w:val="32"/>
          <w:szCs w:val="32"/>
          <w:lang w:eastAsia="zh-Hans"/>
        </w:rPr>
        <w:t>表</w:t>
      </w:r>
    </w:p>
    <w:p>
      <w:pPr>
        <w:widowControl/>
        <w:jc w:val="left"/>
        <w:outlineLvl w:val="1"/>
        <w:rPr>
          <w:rFonts w:ascii="宋体" w:hAnsi="宋体"/>
          <w:kern w:val="0"/>
          <w:sz w:val="20"/>
          <w:szCs w:val="20"/>
        </w:rPr>
      </w:pPr>
      <w:r>
        <w:rPr>
          <w:rFonts w:hint="eastAsia" w:ascii="宋体" w:hAnsi="宋体"/>
          <w:kern w:val="0"/>
          <w:sz w:val="20"/>
          <w:szCs w:val="20"/>
        </w:rPr>
        <w:t>表1</w:t>
      </w:r>
    </w:p>
    <w:p>
      <w:pPr>
        <w:ind w:firstLine="2209" w:firstLineChars="1100"/>
        <w:rPr>
          <w:rFonts w:ascii="宋体" w:hAnsi="宋体"/>
          <w:kern w:val="0"/>
          <w:sz w:val="20"/>
          <w:szCs w:val="20"/>
        </w:rPr>
      </w:pPr>
      <w:r>
        <w:rPr>
          <w:rFonts w:hint="eastAsia" w:ascii="宋体" w:hAnsi="宋体"/>
          <w:b/>
          <w:kern w:val="0"/>
          <w:sz w:val="20"/>
          <w:szCs w:val="20"/>
        </w:rPr>
        <w:t>2022年</w:t>
      </w:r>
      <w:r>
        <w:rPr>
          <w:rFonts w:hint="eastAsia" w:ascii="宋体" w:hAnsi="宋体"/>
          <w:b/>
          <w:kern w:val="0"/>
          <w:sz w:val="20"/>
          <w:szCs w:val="20"/>
          <w:lang w:eastAsia="zh-CN"/>
        </w:rPr>
        <w:t>准东开发区</w:t>
      </w:r>
      <w:r>
        <w:rPr>
          <w:rFonts w:hint="eastAsia" w:ascii="宋体" w:hAnsi="宋体"/>
          <w:b/>
          <w:kern w:val="0"/>
          <w:sz w:val="20"/>
          <w:szCs w:val="20"/>
        </w:rPr>
        <w:t>一般公共预算收入表</w:t>
      </w:r>
    </w:p>
    <w:p>
      <w:pPr>
        <w:widowControl/>
        <w:jc w:val="right"/>
        <w:outlineLvl w:val="1"/>
        <w:rPr>
          <w:rFonts w:ascii="宋体" w:hAnsi="宋体"/>
          <w:kern w:val="0"/>
          <w:sz w:val="20"/>
          <w:szCs w:val="20"/>
        </w:rPr>
      </w:pPr>
      <w:r>
        <w:rPr>
          <w:rFonts w:hint="eastAsia" w:ascii="宋体" w:hAnsi="宋体"/>
          <w:kern w:val="0"/>
          <w:sz w:val="20"/>
          <w:szCs w:val="20"/>
        </w:rPr>
        <w:t>单位：万元</w:t>
      </w:r>
    </w:p>
    <w:p>
      <w:pPr>
        <w:widowControl/>
        <w:jc w:val="right"/>
        <w:outlineLvl w:val="1"/>
        <w:rPr>
          <w:rFonts w:ascii="宋体" w:hAnsi="宋体"/>
          <w:kern w:val="0"/>
          <w:sz w:val="20"/>
          <w:szCs w:val="20"/>
        </w:rPr>
      </w:pPr>
    </w:p>
    <w:tbl>
      <w:tblPr>
        <w:tblStyle w:val="5"/>
        <w:tblW w:w="8545" w:type="dxa"/>
        <w:tblInd w:w="96" w:type="dxa"/>
        <w:shd w:val="clear" w:color="auto" w:fill="auto"/>
        <w:tblLayout w:type="autofit"/>
        <w:tblCellMar>
          <w:top w:w="0" w:type="dxa"/>
          <w:left w:w="108" w:type="dxa"/>
          <w:bottom w:w="0" w:type="dxa"/>
          <w:right w:w="108" w:type="dxa"/>
        </w:tblCellMar>
      </w:tblPr>
      <w:tblGrid>
        <w:gridCol w:w="790"/>
        <w:gridCol w:w="3855"/>
        <w:gridCol w:w="1224"/>
        <w:gridCol w:w="1236"/>
        <w:gridCol w:w="1440"/>
      </w:tblGrid>
      <w:tr>
        <w:tblPrEx>
          <w:shd w:val="clear" w:color="auto" w:fill="auto"/>
          <w:tblCellMar>
            <w:top w:w="0" w:type="dxa"/>
            <w:left w:w="108" w:type="dxa"/>
            <w:bottom w:w="0" w:type="dxa"/>
            <w:right w:w="108" w:type="dxa"/>
          </w:tblCellMar>
        </w:tblPrEx>
        <w:trPr>
          <w:trHeight w:val="630" w:hRule="atLeast"/>
        </w:trPr>
        <w:tc>
          <w:tcPr>
            <w:tcW w:w="464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b/>
                <w:bCs/>
                <w:kern w:val="0"/>
                <w:sz w:val="20"/>
                <w:szCs w:val="20"/>
              </w:rPr>
              <w:t>2021年预算数</w:t>
            </w:r>
          </w:p>
        </w:tc>
        <w:tc>
          <w:tcPr>
            <w:tcW w:w="26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r>
      <w:tr>
        <w:tblPrEx>
          <w:shd w:val="clear" w:color="auto" w:fill="auto"/>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代码</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b/>
                <w:bCs/>
                <w:kern w:val="0"/>
                <w:sz w:val="20"/>
                <w:szCs w:val="20"/>
              </w:rPr>
              <w:t>202</w:t>
            </w:r>
            <w:r>
              <w:rPr>
                <w:rFonts w:hint="eastAsia" w:ascii="宋体" w:hAnsi="宋体"/>
                <w:b/>
                <w:bCs/>
                <w:kern w:val="0"/>
                <w:sz w:val="20"/>
                <w:szCs w:val="20"/>
                <w:lang w:val="en-US" w:eastAsia="zh-CN"/>
              </w:rPr>
              <w:t>2</w:t>
            </w:r>
            <w:r>
              <w:rPr>
                <w:rFonts w:hint="eastAsia" w:ascii="宋体" w:hAnsi="宋体"/>
                <w:b/>
                <w:bCs/>
                <w:kern w:val="0"/>
                <w:sz w:val="20"/>
                <w:szCs w:val="20"/>
              </w:rPr>
              <w:t>年预算数</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为上年预算数的%</w:t>
            </w:r>
          </w:p>
        </w:tc>
      </w:tr>
      <w:tr>
        <w:tblPrEx>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一、税收收入</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276336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495025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r>
      <w:tr>
        <w:tblPrEx>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增值税</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116260</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202861</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r>
      <w:tr>
        <w:tblPrEx>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企业所得税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83179</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192042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r>
      <w:tr>
        <w:tblPrEx>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企业所得税退税</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个人所得税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4683</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6869</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r>
      <w:tr>
        <w:tblPrEx>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资源税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16813</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r>
      <w:tr>
        <w:tblPrEx>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城市维护建设税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11406</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14393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r>
      <w:tr>
        <w:tblPrEx>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房产税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13927</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17501</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r>
      <w:tr>
        <w:tblPrEx>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印花税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5214</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6891</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r>
      <w:tr>
        <w:tblPrEx>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城镇土地使用税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13861</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12752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r>
      <w:tr>
        <w:tblPrEx>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土地增值税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r>
      <w:tr>
        <w:tblPrEx>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车船税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r>
      <w:tr>
        <w:tblPrEx>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耕地占用税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契税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1159</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554</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r>
      <w:tr>
        <w:tblPrEx>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烟叶税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环境保护税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r>
      <w:tr>
        <w:tblPrEx>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其他税收收入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二、非税收入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r>
      <w:tr>
        <w:tblPrEx>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22791</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r>
      <w:tr>
        <w:tblPrEx>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行政事业性收费收入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3553</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r>
      <w:tr>
        <w:tblPrEx>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罚没收入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1006</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r>
      <w:tr>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国有资源（资产）有偿使用收入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r>
      <w:tr>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捐赠收入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政府住房基金收入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2248</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其他收入</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FF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FF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20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收入合计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295786</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525025</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r>
    </w:tbl>
    <w:p>
      <w:pPr>
        <w:widowControl/>
        <w:jc w:val="left"/>
        <w:outlineLvl w:val="1"/>
        <w:rPr>
          <w:rFonts w:hint="eastAsia" w:ascii="宋体" w:hAnsi="宋体"/>
          <w:b/>
          <w:kern w:val="0"/>
          <w:sz w:val="20"/>
          <w:szCs w:val="20"/>
        </w:rPr>
      </w:pPr>
      <w:r>
        <w:rPr>
          <w:rFonts w:hint="eastAsia" w:ascii="宋体" w:hAnsi="宋体"/>
          <w:kern w:val="0"/>
          <w:sz w:val="20"/>
          <w:szCs w:val="20"/>
        </w:rPr>
        <w:t>表2</w:t>
      </w:r>
    </w:p>
    <w:p>
      <w:pPr>
        <w:widowControl/>
        <w:jc w:val="center"/>
        <w:outlineLvl w:val="1"/>
        <w:rPr>
          <w:rFonts w:hint="eastAsia" w:ascii="宋体" w:hAnsi="宋体"/>
          <w:b/>
          <w:kern w:val="0"/>
          <w:sz w:val="20"/>
          <w:szCs w:val="20"/>
        </w:rPr>
      </w:pPr>
      <w:r>
        <w:rPr>
          <w:rFonts w:hint="eastAsia" w:ascii="宋体" w:hAnsi="宋体"/>
          <w:b/>
          <w:kern w:val="0"/>
          <w:sz w:val="20"/>
          <w:szCs w:val="20"/>
        </w:rPr>
        <w:t>2022年</w:t>
      </w:r>
      <w:r>
        <w:rPr>
          <w:rFonts w:hint="eastAsia" w:ascii="宋体" w:hAnsi="宋体"/>
          <w:b/>
          <w:kern w:val="0"/>
          <w:sz w:val="20"/>
          <w:szCs w:val="20"/>
          <w:lang w:eastAsia="zh-CN"/>
        </w:rPr>
        <w:t>准东开发区</w:t>
      </w:r>
      <w:r>
        <w:rPr>
          <w:rFonts w:hint="eastAsia" w:ascii="宋体" w:hAnsi="宋体"/>
          <w:b/>
          <w:kern w:val="0"/>
          <w:sz w:val="20"/>
          <w:szCs w:val="20"/>
        </w:rPr>
        <w:t>一般公共预算支出表</w:t>
      </w:r>
    </w:p>
    <w:p>
      <w:pPr>
        <w:widowControl/>
        <w:jc w:val="right"/>
        <w:outlineLvl w:val="1"/>
        <w:rPr>
          <w:rFonts w:ascii="宋体" w:hAnsi="宋体"/>
          <w:kern w:val="0"/>
          <w:sz w:val="20"/>
          <w:szCs w:val="20"/>
        </w:rPr>
      </w:pPr>
      <w:r>
        <w:rPr>
          <w:rFonts w:hint="eastAsia" w:ascii="宋体" w:hAnsi="宋体"/>
          <w:kern w:val="0"/>
          <w:sz w:val="20"/>
          <w:szCs w:val="20"/>
        </w:rPr>
        <w:t>单位：万元</w:t>
      </w:r>
    </w:p>
    <w:p>
      <w:pPr>
        <w:widowControl/>
        <w:jc w:val="center"/>
        <w:outlineLvl w:val="1"/>
        <w:rPr>
          <w:rFonts w:hint="eastAsia" w:ascii="宋体" w:hAnsi="宋体"/>
          <w:b/>
          <w:kern w:val="0"/>
          <w:sz w:val="20"/>
          <w:szCs w:val="20"/>
          <w:lang w:eastAsia="zh-Hans"/>
        </w:rPr>
      </w:pPr>
    </w:p>
    <w:tbl>
      <w:tblPr>
        <w:tblStyle w:val="5"/>
        <w:tblW w:w="9319" w:type="dxa"/>
        <w:tblInd w:w="96" w:type="dxa"/>
        <w:shd w:val="clear" w:color="auto" w:fill="auto"/>
        <w:tblLayout w:type="autofit"/>
        <w:tblCellMar>
          <w:top w:w="0" w:type="dxa"/>
          <w:left w:w="108" w:type="dxa"/>
          <w:bottom w:w="0" w:type="dxa"/>
          <w:right w:w="108" w:type="dxa"/>
        </w:tblCellMar>
      </w:tblPr>
      <w:tblGrid>
        <w:gridCol w:w="1232"/>
        <w:gridCol w:w="4942"/>
        <w:gridCol w:w="1094"/>
        <w:gridCol w:w="1094"/>
        <w:gridCol w:w="957"/>
      </w:tblGrid>
      <w:tr>
        <w:tblPrEx>
          <w:shd w:val="clear" w:color="auto" w:fill="auto"/>
          <w:tblCellMar>
            <w:top w:w="0" w:type="dxa"/>
            <w:left w:w="108" w:type="dxa"/>
            <w:bottom w:w="0" w:type="dxa"/>
            <w:right w:w="108" w:type="dxa"/>
          </w:tblCellMar>
        </w:tblPrEx>
        <w:trPr>
          <w:trHeight w:val="485" w:hRule="atLeast"/>
        </w:trPr>
        <w:tc>
          <w:tcPr>
            <w:tcW w:w="617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2021年预算数</w:t>
            </w:r>
          </w:p>
        </w:tc>
        <w:tc>
          <w:tcPr>
            <w:tcW w:w="20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r>
      <w:tr>
        <w:tblPrEx>
          <w:shd w:val="clear" w:color="auto" w:fill="auto"/>
          <w:tblCellMar>
            <w:top w:w="0" w:type="dxa"/>
            <w:left w:w="108" w:type="dxa"/>
            <w:bottom w:w="0" w:type="dxa"/>
            <w:right w:w="108" w:type="dxa"/>
          </w:tblCellMar>
        </w:tblPrEx>
        <w:trPr>
          <w:trHeight w:val="128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代码</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2022年预算数</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为上年预算数的%</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发展与改革事务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2010401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2010402</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2010602</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20107</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税收事务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2010799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其他税收事务支出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纪检监察事务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2011102</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组织事务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2013201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2013202</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市场监督管理事务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2013801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2013802</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普通教育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2050202</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小学教育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20503</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2050399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其他职业教育支出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20606</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社会科学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2060699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其他社会科学支出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就业补助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2080704</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社会保险补贴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卫生健康管理事务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2100199</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其他卫生健康管理事务支出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公共卫生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环境保护管理事务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2110101</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2110102</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污染防治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2110399</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其他污染防治支出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139637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2120101</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城乡社区公共设施</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54591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2120399</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其他城乡社区公共设施支出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54591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2130301</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2130399</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其他水利支出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巩固脱贫衔接乡村振兴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21508</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支持中小企业发展和管理支出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2150805</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中小企业发展专项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自然资源事务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2200101</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2200199</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其他自然资源事务支出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22005</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气象事务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2200501</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2200599</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其他气象事务支出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保障性安居工程支出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2210106</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公共租赁住房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应急管理事务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2240101</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2240199</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消防救援事务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2240201</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2240299</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其他消防救援事务支出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预备费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r>
      <w:tr>
        <w:tblPrEx>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23203</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地方政府一般债务付息支出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2320301</w:t>
            </w:r>
          </w:p>
        </w:tc>
        <w:tc>
          <w:tcPr>
            <w:tcW w:w="0" w:type="auto"/>
            <w:tcBorders>
              <w:top w:val="single" w:color="000000" w:sz="4" w:space="0"/>
              <w:left w:val="nil"/>
              <w:bottom w:val="single" w:color="00000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地方政府一般债券付息支出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23303</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地方政府一般债务发行费用支出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5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114735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212869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r>
    </w:tbl>
    <w:p>
      <w:pPr>
        <w:widowControl/>
        <w:jc w:val="left"/>
        <w:outlineLvl w:val="1"/>
        <w:rPr>
          <w:rFonts w:hint="eastAsia" w:ascii="宋体" w:hAnsi="宋体"/>
          <w:b/>
          <w:kern w:val="0"/>
          <w:sz w:val="20"/>
          <w:szCs w:val="20"/>
        </w:rPr>
      </w:pPr>
      <w:r>
        <w:rPr>
          <w:rFonts w:hint="eastAsia" w:ascii="宋体" w:hAnsi="宋体"/>
          <w:kern w:val="0"/>
          <w:sz w:val="20"/>
          <w:szCs w:val="20"/>
        </w:rPr>
        <w:t>表3</w:t>
      </w:r>
    </w:p>
    <w:p>
      <w:pPr>
        <w:widowControl/>
        <w:jc w:val="center"/>
        <w:outlineLvl w:val="1"/>
        <w:rPr>
          <w:rFonts w:hint="eastAsia" w:ascii="宋体" w:hAnsi="宋体"/>
          <w:b/>
          <w:kern w:val="0"/>
          <w:sz w:val="20"/>
          <w:szCs w:val="20"/>
        </w:rPr>
      </w:pPr>
      <w:r>
        <w:rPr>
          <w:rFonts w:hint="eastAsia" w:ascii="宋体" w:hAnsi="宋体"/>
          <w:b/>
          <w:kern w:val="0"/>
          <w:sz w:val="20"/>
          <w:szCs w:val="20"/>
          <w:lang w:val="en-US" w:eastAsia="zh-CN"/>
        </w:rPr>
        <w:t xml:space="preserve">     </w:t>
      </w:r>
      <w:r>
        <w:rPr>
          <w:rFonts w:hint="eastAsia" w:ascii="宋体" w:hAnsi="宋体"/>
          <w:b/>
          <w:kern w:val="0"/>
          <w:sz w:val="20"/>
          <w:szCs w:val="20"/>
        </w:rPr>
        <w:t>2022年</w:t>
      </w:r>
      <w:r>
        <w:rPr>
          <w:rFonts w:hint="eastAsia" w:ascii="宋体" w:hAnsi="宋体"/>
          <w:b/>
          <w:kern w:val="0"/>
          <w:sz w:val="20"/>
          <w:szCs w:val="20"/>
          <w:lang w:eastAsia="zh-CN"/>
        </w:rPr>
        <w:t>准东开发区</w:t>
      </w:r>
      <w:r>
        <w:rPr>
          <w:rFonts w:hint="eastAsia" w:ascii="宋体" w:hAnsi="宋体"/>
          <w:b/>
          <w:kern w:val="0"/>
          <w:sz w:val="20"/>
          <w:szCs w:val="20"/>
        </w:rPr>
        <w:t>一般公共预算政府预算支出经济分类明细表</w:t>
      </w:r>
    </w:p>
    <w:p>
      <w:pPr>
        <w:widowControl/>
        <w:jc w:val="right"/>
        <w:outlineLvl w:val="1"/>
        <w:rPr>
          <w:rFonts w:ascii="宋体" w:hAnsi="宋体"/>
          <w:kern w:val="0"/>
          <w:sz w:val="20"/>
          <w:szCs w:val="20"/>
        </w:rPr>
      </w:pPr>
      <w:r>
        <w:rPr>
          <w:rFonts w:hint="eastAsia" w:ascii="宋体" w:hAnsi="宋体"/>
          <w:kern w:val="0"/>
          <w:sz w:val="20"/>
          <w:szCs w:val="20"/>
        </w:rPr>
        <w:t>单位：万元</w:t>
      </w:r>
    </w:p>
    <w:p>
      <w:pPr>
        <w:widowControl/>
        <w:jc w:val="center"/>
        <w:outlineLvl w:val="1"/>
        <w:rPr>
          <w:rFonts w:hint="eastAsia" w:ascii="宋体" w:hAnsi="宋体"/>
          <w:b/>
          <w:kern w:val="0"/>
          <w:sz w:val="20"/>
          <w:szCs w:val="20"/>
          <w:lang w:eastAsia="zh-Hans"/>
        </w:rPr>
      </w:pPr>
    </w:p>
    <w:tbl>
      <w:tblPr>
        <w:tblStyle w:val="5"/>
        <w:tblW w:w="9240" w:type="dxa"/>
        <w:tblInd w:w="96" w:type="dxa"/>
        <w:shd w:val="clear" w:color="auto" w:fill="auto"/>
        <w:tblLayout w:type="autofit"/>
        <w:tblCellMar>
          <w:top w:w="0" w:type="dxa"/>
          <w:left w:w="108" w:type="dxa"/>
          <w:bottom w:w="0" w:type="dxa"/>
          <w:right w:w="108" w:type="dxa"/>
        </w:tblCellMar>
      </w:tblPr>
      <w:tblGrid>
        <w:gridCol w:w="1183"/>
        <w:gridCol w:w="4523"/>
        <w:gridCol w:w="1067"/>
        <w:gridCol w:w="983"/>
        <w:gridCol w:w="1484"/>
      </w:tblGrid>
      <w:tr>
        <w:tblPrEx>
          <w:shd w:val="clear" w:color="auto" w:fill="auto"/>
          <w:tblCellMar>
            <w:top w:w="0" w:type="dxa"/>
            <w:left w:w="108" w:type="dxa"/>
            <w:bottom w:w="0" w:type="dxa"/>
            <w:right w:w="108" w:type="dxa"/>
          </w:tblCellMar>
        </w:tblPrEx>
        <w:trPr>
          <w:trHeight w:val="56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4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2021年预算数</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2022年预算数</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比上年增（减）%</w:t>
            </w: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11324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13617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20.25 </w:t>
            </w: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工资奖金津补贴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7469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8469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13.39 </w:t>
            </w: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1392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1635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17.46 </w:t>
            </w: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24.83 </w:t>
            </w: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1738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50.06 </w:t>
            </w: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7366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2.66 </w:t>
            </w: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45.28 </w:t>
            </w: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专用材料购置费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138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5805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2.05 </w:t>
            </w: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机关资本性支出(一)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85112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174195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104.67 </w:t>
            </w: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房屋建筑物购建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129165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77.91 </w:t>
            </w: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土地征迁补偿和安置支出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160.42 </w:t>
            </w: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大型修缮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10592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277.93 </w:t>
            </w: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机关资本性支出(二)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房屋建筑物购建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大型修缮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对事业单位经常性补助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其他对事业单位补助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对事业单位资本性补助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利息补贴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其他对企业补助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资本金注入(一)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资本金注入(二)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政府投资基金股权投资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其他对企业资本性支出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社会福利和救助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助学金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个人农业生产补贴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其他对个人和家庭补助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对社会保障基金补助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414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27.29 </w:t>
            </w: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对社会保险基金补助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补充全国社会保障基金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对机关事业单位职业年金补助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414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2411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2.03 </w:t>
            </w: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国内债务付息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2411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2419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0.33 </w:t>
            </w: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国外债务付息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国内债务发行费用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国外债务发行费用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1876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国内债务还本</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1876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国外债务还本</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上下级政府间转移性支出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债务转贷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调出资金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安排预算稳定调节基金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补充预算周转金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预备费及预留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66.67 </w:t>
            </w: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预备费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66.67 </w:t>
            </w: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5223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 </w:t>
            </w: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国家赔偿费用支出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59908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对民间非营利组织和群众性自治组织补贴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59909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经常性赠与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资本性赠与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5223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114735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212869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85.53 </w:t>
            </w:r>
          </w:p>
        </w:tc>
      </w:tr>
    </w:tbl>
    <w:p>
      <w:pPr>
        <w:widowControl/>
        <w:jc w:val="left"/>
        <w:outlineLvl w:val="1"/>
        <w:rPr>
          <w:rFonts w:hint="eastAsia" w:ascii="宋体" w:hAnsi="宋体"/>
          <w:b/>
          <w:kern w:val="0"/>
          <w:sz w:val="20"/>
          <w:szCs w:val="20"/>
        </w:rPr>
      </w:pPr>
      <w:r>
        <w:rPr>
          <w:rFonts w:hint="eastAsia" w:ascii="宋体" w:hAnsi="宋体"/>
          <w:kern w:val="0"/>
          <w:sz w:val="20"/>
          <w:szCs w:val="20"/>
        </w:rPr>
        <w:t>表4</w:t>
      </w:r>
    </w:p>
    <w:p>
      <w:pPr>
        <w:widowControl/>
        <w:jc w:val="center"/>
        <w:outlineLvl w:val="1"/>
        <w:rPr>
          <w:rFonts w:ascii="宋体" w:hAnsi="宋体"/>
          <w:b/>
          <w:kern w:val="0"/>
          <w:sz w:val="20"/>
          <w:szCs w:val="20"/>
        </w:rPr>
      </w:pPr>
      <w:r>
        <w:rPr>
          <w:rFonts w:hint="eastAsia" w:ascii="宋体" w:hAnsi="宋体"/>
          <w:b/>
          <w:kern w:val="0"/>
          <w:sz w:val="20"/>
          <w:szCs w:val="20"/>
        </w:rPr>
        <w:t>2022年昌吉州本级一般公共预算基本支出预算表</w:t>
      </w:r>
    </w:p>
    <w:p>
      <w:pPr>
        <w:widowControl/>
        <w:jc w:val="right"/>
        <w:outlineLvl w:val="1"/>
        <w:rPr>
          <w:rFonts w:ascii="宋体" w:hAnsi="宋体"/>
          <w:kern w:val="0"/>
          <w:sz w:val="20"/>
          <w:szCs w:val="20"/>
        </w:rPr>
      </w:pPr>
      <w:r>
        <w:rPr>
          <w:rFonts w:hint="eastAsia" w:ascii="宋体" w:hAnsi="宋体"/>
          <w:kern w:val="0"/>
          <w:sz w:val="20"/>
          <w:szCs w:val="20"/>
        </w:rPr>
        <w:t>单位：万元</w:t>
      </w:r>
    </w:p>
    <w:tbl>
      <w:tblPr>
        <w:tblStyle w:val="5"/>
        <w:tblW w:w="8785" w:type="dxa"/>
        <w:tblInd w:w="96" w:type="dxa"/>
        <w:shd w:val="clear" w:color="auto" w:fill="auto"/>
        <w:tblLayout w:type="autofit"/>
        <w:tblCellMar>
          <w:top w:w="0" w:type="dxa"/>
          <w:left w:w="108" w:type="dxa"/>
          <w:bottom w:w="0" w:type="dxa"/>
          <w:right w:w="108" w:type="dxa"/>
        </w:tblCellMar>
      </w:tblPr>
      <w:tblGrid>
        <w:gridCol w:w="1068"/>
        <w:gridCol w:w="4016"/>
        <w:gridCol w:w="1241"/>
        <w:gridCol w:w="1266"/>
        <w:gridCol w:w="1194"/>
      </w:tblGrid>
      <w:tr>
        <w:tblPrEx>
          <w:shd w:val="clear" w:color="auto" w:fill="auto"/>
          <w:tblCellMar>
            <w:top w:w="0" w:type="dxa"/>
            <w:left w:w="108" w:type="dxa"/>
            <w:bottom w:w="0" w:type="dxa"/>
            <w:right w:w="108" w:type="dxa"/>
          </w:tblCellMar>
        </w:tblPrEx>
        <w:trPr>
          <w:trHeight w:val="54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科目编码</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科目名称</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2021年预算数</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2022年预算数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比上年增（减）%</w:t>
            </w: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一般公共预算支出</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114,735</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212,869</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w:t>
            </w: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机关工资福利支出</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13617 </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工资奖金津补贴</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8469 </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313%</w:t>
            </w: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社会保障缴费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1635 </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394%</w:t>
            </w: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905 </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237%</w:t>
            </w: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5,932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2608 </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机关商品和服务支出</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4,189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7366 </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w:t>
            </w: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办公经费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231 </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专用材料购置费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138 </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523 </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550 </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3,363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5924 </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w:t>
            </w: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机关资本性支出(一)</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174195 </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59,950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129165 </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土地征迁补偿和安置支出</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设备购置</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40030 </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267%</w:t>
            </w: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机关资本性支出(二)</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设备购置</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对事业单位经常性补助</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工资福利支出</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商品和服务支出</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其他对事业单位补助</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对事业单位资本性补助</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资本性支出(一)</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资本性支出(二)</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对企业补助</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6500 </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费用补贴</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利息补贴</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其他对企业补助</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6500 </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对企业资本性支出</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对企业资本性支出(一)</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对企业资本性支出(二)</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对个人和家庭的补助</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社会福利和救助</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离退休费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其他对个人和家庭补助</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对社会保障基金补助</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527 </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对社会保险基金补助</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527 </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补充全国社会保障基金</w:t>
            </w:r>
          </w:p>
        </w:tc>
        <w:tc>
          <w:tcPr>
            <w:tcW w:w="15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51004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对机关事业单位职业年金的补助</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债务利息及费用支出</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2411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2460 </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2411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2419 </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国内债务发行费用</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 </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国外债务发行费用</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预备费及预留</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预备费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预留</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其他支出</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5223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6200 </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赠与</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5223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6200 </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r>
    </w:tbl>
    <w:p>
      <w:pPr>
        <w:widowControl/>
        <w:jc w:val="center"/>
        <w:outlineLvl w:val="1"/>
        <w:rPr>
          <w:rFonts w:ascii="黑体" w:hAnsi="黑体" w:eastAsia="黑体"/>
          <w:kern w:val="0"/>
          <w:sz w:val="32"/>
          <w:szCs w:val="32"/>
          <w:lang w:eastAsia="zh-Hans"/>
        </w:rPr>
      </w:pPr>
    </w:p>
    <w:p>
      <w:pPr>
        <w:tabs>
          <w:tab w:val="left" w:pos="2148"/>
        </w:tabs>
        <w:spacing w:before="190" w:line="350" w:lineRule="auto"/>
        <w:ind w:right="3265" w:firstLine="640" w:firstLineChars="200"/>
        <w:rPr>
          <w:rFonts w:ascii="黑体" w:hAnsi="黑体" w:eastAsia="黑体" w:cs="宋体"/>
          <w:bCs/>
          <w:kern w:val="0"/>
          <w:sz w:val="32"/>
          <w:szCs w:val="32"/>
          <w:lang w:eastAsia="zh-Hans"/>
        </w:rPr>
      </w:pPr>
      <w:r>
        <w:rPr>
          <w:rFonts w:hint="eastAsia" w:ascii="黑体" w:hAnsi="黑体" w:eastAsia="黑体" w:cs="宋体"/>
          <w:bCs/>
          <w:kern w:val="0"/>
          <w:sz w:val="32"/>
          <w:szCs w:val="32"/>
          <w:lang w:eastAsia="zh-Hans"/>
        </w:rPr>
        <w:t>二、政府性基金预算</w:t>
      </w:r>
      <w:r>
        <w:rPr>
          <w:rFonts w:hint="eastAsia" w:ascii="黑体" w:hAnsi="黑体" w:eastAsia="黑体" w:cs="宋体"/>
          <w:bCs/>
          <w:kern w:val="0"/>
          <w:sz w:val="32"/>
          <w:szCs w:val="32"/>
        </w:rPr>
        <w:t>公开表</w:t>
      </w:r>
    </w:p>
    <w:p>
      <w:pPr>
        <w:widowControl/>
        <w:jc w:val="left"/>
        <w:outlineLvl w:val="1"/>
        <w:rPr>
          <w:rFonts w:hint="eastAsia" w:ascii="宋体" w:hAnsi="宋体"/>
          <w:b/>
          <w:kern w:val="0"/>
          <w:sz w:val="20"/>
          <w:szCs w:val="20"/>
        </w:rPr>
      </w:pPr>
      <w:r>
        <w:rPr>
          <w:rFonts w:hint="eastAsia" w:ascii="宋体" w:hAnsi="宋体"/>
          <w:kern w:val="0"/>
          <w:sz w:val="20"/>
          <w:szCs w:val="20"/>
        </w:rPr>
        <w:t>表</w:t>
      </w:r>
      <w:r>
        <w:rPr>
          <w:rFonts w:hint="eastAsia" w:ascii="宋体" w:hAnsi="宋体"/>
          <w:kern w:val="0"/>
          <w:sz w:val="20"/>
          <w:szCs w:val="20"/>
          <w:lang w:val="en-US" w:eastAsia="zh-CN"/>
        </w:rPr>
        <w:t>5</w:t>
      </w:r>
    </w:p>
    <w:p>
      <w:pPr>
        <w:widowControl/>
        <w:jc w:val="center"/>
        <w:outlineLvl w:val="1"/>
        <w:rPr>
          <w:rFonts w:ascii="宋体" w:hAnsi="宋体"/>
          <w:b/>
          <w:kern w:val="0"/>
          <w:sz w:val="20"/>
          <w:szCs w:val="20"/>
        </w:rPr>
      </w:pPr>
      <w:r>
        <w:rPr>
          <w:rFonts w:hint="eastAsia" w:ascii="宋体" w:hAnsi="宋体"/>
          <w:b/>
          <w:kern w:val="0"/>
          <w:sz w:val="20"/>
          <w:szCs w:val="20"/>
        </w:rPr>
        <w:t>2022年</w:t>
      </w:r>
      <w:r>
        <w:rPr>
          <w:rFonts w:hint="eastAsia" w:ascii="宋体" w:hAnsi="宋体"/>
          <w:b/>
          <w:kern w:val="0"/>
          <w:sz w:val="20"/>
          <w:szCs w:val="20"/>
          <w:lang w:eastAsia="zh-CN"/>
        </w:rPr>
        <w:t>准东开发区</w:t>
      </w:r>
      <w:r>
        <w:rPr>
          <w:rFonts w:hint="eastAsia" w:ascii="宋体" w:hAnsi="宋体"/>
          <w:b/>
          <w:kern w:val="0"/>
          <w:sz w:val="20"/>
          <w:szCs w:val="20"/>
        </w:rPr>
        <w:t>政府性基金收入表</w:t>
      </w:r>
    </w:p>
    <w:p>
      <w:pPr>
        <w:widowControl/>
        <w:jc w:val="right"/>
        <w:outlineLvl w:val="1"/>
        <w:rPr>
          <w:rFonts w:ascii="宋体" w:hAnsi="宋体"/>
          <w:kern w:val="0"/>
          <w:sz w:val="20"/>
          <w:szCs w:val="20"/>
        </w:rPr>
      </w:pPr>
      <w:r>
        <w:rPr>
          <w:rFonts w:hint="eastAsia" w:ascii="宋体" w:hAnsi="宋体"/>
          <w:kern w:val="0"/>
          <w:sz w:val="20"/>
          <w:szCs w:val="20"/>
        </w:rPr>
        <w:t>单位：万元</w:t>
      </w:r>
    </w:p>
    <w:tbl>
      <w:tblPr>
        <w:tblStyle w:val="5"/>
        <w:tblW w:w="9400" w:type="dxa"/>
        <w:tblInd w:w="96" w:type="dxa"/>
        <w:shd w:val="clear" w:color="auto" w:fill="auto"/>
        <w:tblLayout w:type="autofit"/>
        <w:tblCellMar>
          <w:top w:w="0" w:type="dxa"/>
          <w:left w:w="108" w:type="dxa"/>
          <w:bottom w:w="0" w:type="dxa"/>
          <w:right w:w="108" w:type="dxa"/>
        </w:tblCellMar>
      </w:tblPr>
      <w:tblGrid>
        <w:gridCol w:w="6275"/>
        <w:gridCol w:w="1041"/>
        <w:gridCol w:w="1041"/>
        <w:gridCol w:w="1043"/>
      </w:tblGrid>
      <w:tr>
        <w:tblPrEx>
          <w:shd w:val="clear" w:color="auto" w:fill="auto"/>
          <w:tblCellMar>
            <w:top w:w="0" w:type="dxa"/>
            <w:left w:w="108" w:type="dxa"/>
            <w:bottom w:w="0" w:type="dxa"/>
            <w:right w:w="108" w:type="dxa"/>
          </w:tblCellMar>
        </w:tblPrEx>
        <w:trPr>
          <w:trHeight w:val="607" w:hRule="atLeast"/>
        </w:trPr>
        <w:tc>
          <w:tcPr>
            <w:tcW w:w="940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r>
      <w:tr>
        <w:tblPrEx>
          <w:shd w:val="clear" w:color="auto" w:fill="auto"/>
          <w:tblCellMar>
            <w:top w:w="0" w:type="dxa"/>
            <w:left w:w="108" w:type="dxa"/>
            <w:bottom w:w="0" w:type="dxa"/>
            <w:right w:w="108" w:type="dxa"/>
          </w:tblCellMar>
        </w:tblPrEx>
        <w:trPr>
          <w:trHeight w:val="380" w:hRule="atLeast"/>
        </w:trPr>
        <w:tc>
          <w:tcPr>
            <w:tcW w:w="62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2021年预算数</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2022年预算数</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为上年预算数的%</w:t>
            </w:r>
          </w:p>
        </w:tc>
      </w:tr>
      <w:tr>
        <w:tblPrEx>
          <w:shd w:val="clear" w:color="auto" w:fill="auto"/>
          <w:tblCellMar>
            <w:top w:w="0" w:type="dxa"/>
            <w:left w:w="108" w:type="dxa"/>
            <w:bottom w:w="0" w:type="dxa"/>
            <w:right w:w="108" w:type="dxa"/>
          </w:tblCellMar>
        </w:tblPrEx>
        <w:trPr>
          <w:trHeight w:val="1147" w:hRule="atLeast"/>
        </w:trPr>
        <w:tc>
          <w:tcPr>
            <w:tcW w:w="62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一、农网还贷资金收入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二、海南省高等级公路车辆通行附加费收入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三、国家电影事业发展专项资金收入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四、国有土地收益基金收入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五、农业土地开发资金收入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shd w:val="clear" w:color="auto" w:fill="auto"/>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六、国有土地使用权出让收入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r>
      <w:tr>
        <w:tblPrEx>
          <w:shd w:val="clear" w:color="auto" w:fill="auto"/>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土地出让价款收入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r>
      <w:tr>
        <w:tblPrEx>
          <w:shd w:val="clear" w:color="auto" w:fill="auto"/>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补缴的土地价款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划拨土地收入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缴纳新增建设用地土地有偿使用费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其他土地出让收入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七、大中型水库库区基金收入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八、彩票公益金收入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福利彩票公益金收入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体育彩票公益金收入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九、城市基础设施配套费收入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十、小型水库移民扶助基金收入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十一、国家重大水利工程建设基金收入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十二、车辆通行费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十三、污水处理费收入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十四、彩票发行机构和彩票销售机构的业务费用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福利彩票销售机构的业务费用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体育彩票销售机构的业务费用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彩票兑奖周转金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彩票发行销售风险基金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彩票市场调控资金收入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十五、其他政府性基金收入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9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十六、专项债券对应项目专项收入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67%</w:t>
            </w:r>
          </w:p>
        </w:tc>
      </w:tr>
    </w:tbl>
    <w:p>
      <w:pPr>
        <w:widowControl/>
        <w:jc w:val="left"/>
        <w:outlineLvl w:val="1"/>
        <w:rPr>
          <w:rFonts w:hint="eastAsia" w:ascii="黑体" w:hAnsi="黑体" w:eastAsia="宋体"/>
          <w:kern w:val="0"/>
          <w:sz w:val="32"/>
          <w:szCs w:val="32"/>
          <w:lang w:eastAsia="zh-CN"/>
        </w:rPr>
      </w:pPr>
      <w:r>
        <w:rPr>
          <w:rFonts w:hint="eastAsia" w:ascii="宋体" w:hAnsi="宋体"/>
          <w:kern w:val="0"/>
          <w:sz w:val="20"/>
          <w:szCs w:val="20"/>
        </w:rPr>
        <w:t>表</w:t>
      </w:r>
      <w:r>
        <w:rPr>
          <w:rFonts w:hint="eastAsia" w:ascii="宋体" w:hAnsi="宋体"/>
          <w:kern w:val="0"/>
          <w:sz w:val="20"/>
          <w:szCs w:val="20"/>
          <w:lang w:val="en-US" w:eastAsia="zh-CN"/>
        </w:rPr>
        <w:t>6</w:t>
      </w:r>
    </w:p>
    <w:p>
      <w:pPr>
        <w:widowControl/>
        <w:jc w:val="center"/>
        <w:outlineLvl w:val="1"/>
        <w:rPr>
          <w:rFonts w:ascii="宋体" w:hAnsi="宋体"/>
          <w:b/>
          <w:kern w:val="0"/>
          <w:sz w:val="20"/>
          <w:szCs w:val="20"/>
        </w:rPr>
      </w:pPr>
      <w:r>
        <w:rPr>
          <w:rFonts w:hint="eastAsia" w:ascii="宋体" w:hAnsi="宋体"/>
          <w:b/>
          <w:kern w:val="0"/>
          <w:sz w:val="20"/>
          <w:szCs w:val="20"/>
        </w:rPr>
        <w:t>2022年</w:t>
      </w:r>
      <w:r>
        <w:rPr>
          <w:rFonts w:hint="eastAsia" w:ascii="宋体" w:hAnsi="宋体"/>
          <w:b/>
          <w:kern w:val="0"/>
          <w:sz w:val="20"/>
          <w:szCs w:val="20"/>
          <w:lang w:eastAsia="zh-CN"/>
        </w:rPr>
        <w:t>准东开发区</w:t>
      </w:r>
      <w:r>
        <w:rPr>
          <w:rFonts w:hint="eastAsia" w:ascii="宋体" w:hAnsi="宋体"/>
          <w:b/>
          <w:kern w:val="0"/>
          <w:sz w:val="20"/>
          <w:szCs w:val="20"/>
        </w:rPr>
        <w:t>政府性基金</w:t>
      </w:r>
      <w:r>
        <w:rPr>
          <w:rFonts w:hint="eastAsia" w:ascii="宋体" w:hAnsi="宋体"/>
          <w:b/>
          <w:kern w:val="0"/>
          <w:sz w:val="20"/>
          <w:szCs w:val="20"/>
          <w:lang w:eastAsia="zh-CN"/>
        </w:rPr>
        <w:t>支出</w:t>
      </w:r>
      <w:r>
        <w:rPr>
          <w:rFonts w:hint="eastAsia" w:ascii="宋体" w:hAnsi="宋体"/>
          <w:b/>
          <w:kern w:val="0"/>
          <w:sz w:val="20"/>
          <w:szCs w:val="20"/>
        </w:rPr>
        <w:t>表</w:t>
      </w:r>
    </w:p>
    <w:p>
      <w:pPr>
        <w:widowControl/>
        <w:jc w:val="right"/>
        <w:outlineLvl w:val="1"/>
        <w:rPr>
          <w:rFonts w:ascii="宋体" w:hAnsi="宋体"/>
          <w:kern w:val="0"/>
          <w:sz w:val="20"/>
          <w:szCs w:val="20"/>
        </w:rPr>
      </w:pPr>
      <w:r>
        <w:rPr>
          <w:rFonts w:hint="eastAsia" w:ascii="宋体" w:hAnsi="宋体"/>
          <w:kern w:val="0"/>
          <w:sz w:val="20"/>
          <w:szCs w:val="20"/>
        </w:rPr>
        <w:t>单位：万元</w:t>
      </w:r>
    </w:p>
    <w:tbl>
      <w:tblPr>
        <w:tblStyle w:val="5"/>
        <w:tblW w:w="9278" w:type="dxa"/>
        <w:tblInd w:w="96" w:type="dxa"/>
        <w:shd w:val="clear" w:color="auto" w:fill="auto"/>
        <w:tblLayout w:type="autofit"/>
        <w:tblCellMar>
          <w:top w:w="0" w:type="dxa"/>
          <w:left w:w="108" w:type="dxa"/>
          <w:bottom w:w="0" w:type="dxa"/>
          <w:right w:w="108" w:type="dxa"/>
        </w:tblCellMar>
      </w:tblPr>
      <w:tblGrid>
        <w:gridCol w:w="6590"/>
        <w:gridCol w:w="896"/>
        <w:gridCol w:w="896"/>
        <w:gridCol w:w="896"/>
      </w:tblGrid>
      <w:tr>
        <w:tblPrEx>
          <w:shd w:val="clear" w:color="auto" w:fill="auto"/>
          <w:tblCellMar>
            <w:top w:w="0" w:type="dxa"/>
            <w:left w:w="108" w:type="dxa"/>
            <w:bottom w:w="0" w:type="dxa"/>
            <w:right w:w="108" w:type="dxa"/>
          </w:tblCellMar>
        </w:tblPrEx>
        <w:trPr>
          <w:trHeight w:val="395" w:hRule="atLeast"/>
        </w:trPr>
        <w:tc>
          <w:tcPr>
            <w:tcW w:w="6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2021年预算数</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2022年预算数</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为上年预算数的%</w:t>
            </w:r>
          </w:p>
        </w:tc>
      </w:tr>
      <w:tr>
        <w:tblPrEx>
          <w:shd w:val="clear" w:color="auto" w:fill="auto"/>
          <w:tblCellMar>
            <w:top w:w="0" w:type="dxa"/>
            <w:left w:w="108" w:type="dxa"/>
            <w:bottom w:w="0" w:type="dxa"/>
            <w:right w:w="108" w:type="dxa"/>
          </w:tblCellMar>
        </w:tblPrEx>
        <w:trPr>
          <w:trHeight w:val="1193" w:hRule="atLeast"/>
        </w:trPr>
        <w:tc>
          <w:tcPr>
            <w:tcW w:w="6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国家电影事业发展专项资金安排的支出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资助国产影片放映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资助影院建设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资助少数民族语电影译制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购买农村电影公益性放映版权服务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其他国家电影事业发展专项资金支出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旅游发展基金支出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宣传促销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行业规划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旅游事业补助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地方旅游开发项目补助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其他旅游发展基金支出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国家电影事业发展专项资金对应专项债务收入安排的支出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6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资助城市影院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6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其他国家电影事业发展专项资金对应专项债务收入支出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大中型水库移民后期扶持基金支出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移民补助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基础设施建设和经济发展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其他大中型水库移民后期扶持基金支出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小型水库移民扶助基金安排的支出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移民补助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基础设施建设和经济发展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其他小型水库移民扶助基金支出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小型水库移民扶助基金对应专项债务收入安排的支出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6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基础设施建设和经济发展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25" w:hRule="atLeast"/>
        </w:trPr>
        <w:tc>
          <w:tcPr>
            <w:tcW w:w="6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其他小型水库移民扶助基金对应专项债务收入安排的支出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可再生能源电价附加收入安排的支出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风力发电补助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太阳能发电补助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生物质能发电补助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其他可再生能源电价附加收入安排的支出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废弃电器电子产品处理基金支出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回收处理费用补贴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信息系统建设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基金征管经费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其他废弃电器电子产品处理基金支出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国有土地使用权出让收入安排的支出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征地和拆迁补偿支出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土地开发支出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城市建设支出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大中型水库库区基金安排的支出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基础设施建设和经济发展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解决移民遗留问题</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库区防护工程维护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其他大中型水库库区基金支出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三峡水库库区基金支出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基础设施建设和经济发展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解决移民遗留问题</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库区维护和管理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其他三峡水库库区基金支出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国家重大水利工程建设基金安排的支出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南水北调工程建设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三峡后续工作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地方重大水利工程建设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其他重大水利工程建设基金支出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海南省高等级公路车辆通行附加费安排的支出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公路建设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公路养护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公路还贷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农网还贷资金支出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地方农网还贷资金支出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其他农网还贷资金支出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其他政府性基金及对应专项债务收入安排的支出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其他政府性基金安排的支出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其他地方自行试点项目收益专项债券收入安排的支出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其他政府性基金债务收入安排的支出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彩票发行销售机构业务费安排的支出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福利彩票发行机构的业务费支出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体育彩票发行机构的业务费支出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福利彩票销售机构的业务费支出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体育彩票销售机构的业务费支出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彩票兑奖周转金支出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彩票发行销售风险基金支出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彩票市场调控资金支出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其他彩票发行销售机构业务费安排的支出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彩票公益金安排的支出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用于社会福利的彩票公益金支出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用于体育事业的彩票公益金支出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用于教育事业的彩票公益金支出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用于红十字事业的彩票公益金支出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用于残疾人事业的彩票公益金支出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用于文化事业的彩票公益金支出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Chars="3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用于巩固脱贫衔接乡村振兴的彩票公益金支出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用于法律援助的彩票公益金支出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用于城乡医疗救助的的彩票公益金支出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用于其他社会公益事业的彩票公益金支出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海南省高等级公路车辆通行附加费债务付息支出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国家电影事业发展专项资金债务付息支出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国有土地使用权出让金债务付息支出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农业土地开发资金债务付息支出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大中型水库库区基金债务付息支出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城市基础设施配套费债务付息支出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小型水库移民扶助基金债务付息支出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国家重大水利工程建设基金债务付息支出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车辆通行费债务付息支出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污水处理费债务付息支出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土地储备专项债券付息支出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政府收费公路专项债券付息支出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棚户区改造专项债券付息支出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其他地方自行试点项目收益专项债券付息支出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其他政府性基金债务付息支出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海南省高等级公路车辆通行附加费债务发行费用支出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国家电影事业发展专项资金债务发行费用支出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国有土地使用权出让金债务发行费用支出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农业土地开发资金债务发行费用支出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大中型水库库区基金债务发行费用支出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城市基础设施配套费债务发行费用支出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小型水库移民扶助基金债务发行费用支出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国家重大水利工程建设基金债务发行费用支出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车辆通行费债务发行费用支出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污水处理费债务发行费用支出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土地储备专项债券发行费用支出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政府收费公路专项债券发行费用支出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棚户区改造专项债券发行费用支出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其他地方自行试点项目收益专项债务发行费用支出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其他政府性基金债务发行费用支出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公共卫生体系建设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重大疫情防控救治体系建设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粮食安全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能源安全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应急物资保障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产业链改造升级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城镇老旧小区改造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生态环境治理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交通基础设施建设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市政设施建设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重大区域规划基础设施建设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抗疫相关支出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减免房租补贴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重点企业贷款贴息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创业担保贷款贴息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援企稳岗补贴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困难群众基本生活补助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其他抗疫相关支出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1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r>
    </w:tbl>
    <w:p>
      <w:pPr>
        <w:tabs>
          <w:tab w:val="left" w:pos="2148"/>
        </w:tabs>
        <w:spacing w:before="190" w:line="350" w:lineRule="auto"/>
        <w:ind w:right="3265" w:firstLine="640" w:firstLineChars="200"/>
        <w:rPr>
          <w:rFonts w:ascii="黑体" w:hAnsi="黑体" w:eastAsia="黑体" w:cs="宋体"/>
          <w:bCs/>
          <w:kern w:val="0"/>
          <w:sz w:val="32"/>
          <w:szCs w:val="32"/>
        </w:rPr>
      </w:pPr>
      <w:r>
        <w:rPr>
          <w:rFonts w:hint="eastAsia" w:ascii="黑体" w:hAnsi="黑体" w:eastAsia="黑体" w:cs="宋体"/>
          <w:bCs/>
          <w:kern w:val="0"/>
          <w:sz w:val="32"/>
          <w:szCs w:val="32"/>
          <w:lang w:eastAsia="zh-Hans"/>
        </w:rPr>
        <w:t>三、国有资本经营预算</w:t>
      </w:r>
      <w:r>
        <w:rPr>
          <w:rFonts w:hint="eastAsia" w:ascii="黑体" w:hAnsi="黑体" w:eastAsia="黑体" w:cs="宋体"/>
          <w:bCs/>
          <w:kern w:val="0"/>
          <w:sz w:val="32"/>
          <w:szCs w:val="32"/>
        </w:rPr>
        <w:t>公开</w:t>
      </w:r>
      <w:r>
        <w:rPr>
          <w:rFonts w:hint="eastAsia" w:ascii="黑体" w:hAnsi="黑体" w:eastAsia="黑体" w:cs="宋体"/>
          <w:bCs/>
          <w:kern w:val="0"/>
          <w:sz w:val="32"/>
          <w:szCs w:val="32"/>
          <w:lang w:eastAsia="zh-Hans"/>
        </w:rPr>
        <w:t>表</w:t>
      </w:r>
    </w:p>
    <w:p>
      <w:pPr>
        <w:widowControl/>
        <w:jc w:val="left"/>
        <w:outlineLvl w:val="1"/>
        <w:rPr>
          <w:rFonts w:ascii="宋体" w:hAnsi="宋体"/>
          <w:kern w:val="0"/>
          <w:sz w:val="20"/>
          <w:szCs w:val="20"/>
        </w:rPr>
      </w:pPr>
      <w:r>
        <w:rPr>
          <w:rFonts w:hint="eastAsia" w:ascii="宋体" w:hAnsi="宋体"/>
          <w:kern w:val="0"/>
          <w:sz w:val="20"/>
          <w:szCs w:val="20"/>
        </w:rPr>
        <w:t>表</w:t>
      </w:r>
      <w:r>
        <w:rPr>
          <w:rFonts w:hint="eastAsia" w:ascii="宋体" w:hAnsi="宋体"/>
          <w:kern w:val="0"/>
          <w:sz w:val="20"/>
          <w:szCs w:val="20"/>
          <w:lang w:val="en-US" w:eastAsia="zh-CN"/>
        </w:rPr>
        <w:t>7</w:t>
      </w:r>
    </w:p>
    <w:p>
      <w:pPr>
        <w:widowControl/>
        <w:jc w:val="center"/>
        <w:outlineLvl w:val="1"/>
        <w:rPr>
          <w:rFonts w:ascii="宋体" w:hAnsi="宋体"/>
          <w:b/>
          <w:kern w:val="0"/>
          <w:sz w:val="20"/>
          <w:szCs w:val="20"/>
        </w:rPr>
      </w:pPr>
      <w:r>
        <w:rPr>
          <w:rFonts w:hint="eastAsia" w:ascii="宋体" w:hAnsi="宋体"/>
          <w:b/>
          <w:kern w:val="0"/>
          <w:sz w:val="20"/>
          <w:szCs w:val="20"/>
        </w:rPr>
        <w:t>2022年</w:t>
      </w:r>
      <w:r>
        <w:rPr>
          <w:rFonts w:hint="eastAsia" w:ascii="宋体" w:hAnsi="宋体"/>
          <w:b/>
          <w:kern w:val="0"/>
          <w:sz w:val="20"/>
          <w:szCs w:val="20"/>
          <w:lang w:eastAsia="zh-CN"/>
        </w:rPr>
        <w:t>准东开发区</w:t>
      </w:r>
      <w:r>
        <w:rPr>
          <w:rFonts w:hint="eastAsia" w:ascii="宋体" w:hAnsi="宋体"/>
          <w:b/>
          <w:kern w:val="0"/>
          <w:sz w:val="20"/>
          <w:szCs w:val="20"/>
        </w:rPr>
        <w:t>国有资本经营预算收支总表</w:t>
      </w:r>
    </w:p>
    <w:p>
      <w:pPr>
        <w:widowControl/>
        <w:jc w:val="right"/>
        <w:outlineLvl w:val="1"/>
        <w:rPr>
          <w:rFonts w:ascii="宋体" w:hAnsi="宋体"/>
          <w:kern w:val="0"/>
          <w:sz w:val="20"/>
          <w:szCs w:val="20"/>
        </w:rPr>
      </w:pPr>
      <w:r>
        <w:rPr>
          <w:rFonts w:hint="eastAsia" w:ascii="宋体" w:hAnsi="宋体"/>
          <w:kern w:val="0"/>
          <w:sz w:val="20"/>
          <w:szCs w:val="20"/>
        </w:rPr>
        <w:t>单位：万元</w:t>
      </w:r>
    </w:p>
    <w:tbl>
      <w:tblPr>
        <w:tblStyle w:val="5"/>
        <w:tblW w:w="9479" w:type="dxa"/>
        <w:tblInd w:w="96" w:type="dxa"/>
        <w:shd w:val="clear" w:color="auto" w:fill="auto"/>
        <w:tblLayout w:type="autofit"/>
        <w:tblCellMar>
          <w:top w:w="0" w:type="dxa"/>
          <w:left w:w="108" w:type="dxa"/>
          <w:bottom w:w="0" w:type="dxa"/>
          <w:right w:w="108" w:type="dxa"/>
        </w:tblCellMar>
      </w:tblPr>
      <w:tblGrid>
        <w:gridCol w:w="2196"/>
        <w:gridCol w:w="656"/>
        <w:gridCol w:w="1096"/>
        <w:gridCol w:w="876"/>
        <w:gridCol w:w="2191"/>
        <w:gridCol w:w="656"/>
        <w:gridCol w:w="1096"/>
        <w:gridCol w:w="1031"/>
      </w:tblGrid>
      <w:tr>
        <w:tblPrEx>
          <w:shd w:val="clear" w:color="auto" w:fill="auto"/>
          <w:tblCellMar>
            <w:top w:w="0" w:type="dxa"/>
            <w:left w:w="108" w:type="dxa"/>
            <w:bottom w:w="0" w:type="dxa"/>
            <w:right w:w="108" w:type="dxa"/>
          </w:tblCellMar>
        </w:tblPrEx>
        <w:trPr>
          <w:trHeight w:val="516" w:hRule="atLeast"/>
        </w:trPr>
        <w:tc>
          <w:tcPr>
            <w:tcW w:w="45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497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shd w:val="clear" w:color="auto" w:fill="auto"/>
          <w:tblCellMar>
            <w:top w:w="0" w:type="dxa"/>
            <w:left w:w="108" w:type="dxa"/>
            <w:bottom w:w="0" w:type="dxa"/>
            <w:right w:w="108" w:type="dxa"/>
          </w:tblCellMar>
        </w:tblPrEx>
        <w:trPr>
          <w:trHeight w:val="937" w:hRule="atLeast"/>
        </w:trPr>
        <w:tc>
          <w:tcPr>
            <w:tcW w:w="0" w:type="auto"/>
            <w:tcBorders>
              <w:top w:val="nil"/>
              <w:left w:val="single" w:color="010000" w:sz="4" w:space="0"/>
              <w:bottom w:val="nil"/>
              <w:right w:val="single" w:color="01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        目</w:t>
            </w:r>
          </w:p>
        </w:tc>
        <w:tc>
          <w:tcPr>
            <w:tcW w:w="0" w:type="auto"/>
            <w:tcBorders>
              <w:top w:val="nil"/>
              <w:left w:val="single" w:color="010000" w:sz="4" w:space="0"/>
              <w:bottom w:val="nil"/>
              <w:right w:val="single" w:color="01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010" w:type="dxa"/>
            <w:tcBorders>
              <w:top w:val="nil"/>
              <w:left w:val="single" w:color="010000" w:sz="4" w:space="0"/>
              <w:bottom w:val="single" w:color="01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2021年执行数</w:t>
            </w:r>
          </w:p>
        </w:tc>
        <w:tc>
          <w:tcPr>
            <w:tcW w:w="809" w:type="dxa"/>
            <w:tcBorders>
              <w:top w:val="nil"/>
              <w:left w:val="single" w:color="010000" w:sz="4" w:space="0"/>
              <w:bottom w:val="single" w:color="01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2021年执行数</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2022年预算数</w:t>
            </w:r>
          </w:p>
        </w:tc>
      </w:tr>
      <w:tr>
        <w:tblPrEx>
          <w:shd w:val="clear" w:color="auto" w:fill="auto"/>
          <w:tblCellMar>
            <w:top w:w="0" w:type="dxa"/>
            <w:left w:w="108" w:type="dxa"/>
            <w:bottom w:w="0" w:type="dxa"/>
            <w:right w:w="108" w:type="dxa"/>
          </w:tblCellMar>
        </w:tblPrEx>
        <w:trPr>
          <w:trHeight w:val="516" w:hRule="atLeast"/>
        </w:trPr>
        <w:tc>
          <w:tcPr>
            <w:tcW w:w="0" w:type="auto"/>
            <w:tcBorders>
              <w:top w:val="single" w:color="010000" w:sz="4" w:space="0"/>
              <w:left w:val="single" w:color="010000" w:sz="4" w:space="0"/>
              <w:bottom w:val="single" w:color="010000" w:sz="4" w:space="0"/>
              <w:right w:val="single" w:color="01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10000" w:sz="4" w:space="0"/>
              <w:left w:val="single" w:color="010000" w:sz="4" w:space="0"/>
              <w:bottom w:val="single" w:color="010000" w:sz="4" w:space="0"/>
              <w:right w:val="single" w:color="01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0" w:type="auto"/>
            <w:tcBorders>
              <w:top w:val="single" w:color="010000" w:sz="4" w:space="0"/>
              <w:left w:val="single" w:color="010000" w:sz="4" w:space="0"/>
              <w:bottom w:val="single" w:color="010000" w:sz="4" w:space="0"/>
              <w:right w:val="single" w:color="01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10000" w:sz="4" w:space="0"/>
              <w:left w:val="single" w:color="010000" w:sz="4" w:space="0"/>
              <w:bottom w:val="single" w:color="01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shd w:val="clear" w:color="auto" w:fill="auto"/>
          <w:tblCellMar>
            <w:top w:w="0" w:type="dxa"/>
            <w:left w:w="108" w:type="dxa"/>
            <w:bottom w:w="0" w:type="dxa"/>
            <w:right w:w="108" w:type="dxa"/>
          </w:tblCellMar>
        </w:tblPrEx>
        <w:trPr>
          <w:trHeight w:val="664" w:hRule="atLeast"/>
        </w:trPr>
        <w:tc>
          <w:tcPr>
            <w:tcW w:w="0" w:type="auto"/>
            <w:tcBorders>
              <w:top w:val="single" w:color="010000" w:sz="4" w:space="0"/>
              <w:left w:val="single" w:color="010000" w:sz="4" w:space="0"/>
              <w:bottom w:val="single" w:color="010000" w:sz="4" w:space="0"/>
              <w:right w:val="single" w:color="01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一、利润收入</w:t>
            </w:r>
          </w:p>
        </w:tc>
        <w:tc>
          <w:tcPr>
            <w:tcW w:w="0" w:type="auto"/>
            <w:tcBorders>
              <w:top w:val="single" w:color="010000" w:sz="4" w:space="0"/>
              <w:left w:val="single" w:color="010000" w:sz="4" w:space="0"/>
              <w:bottom w:val="single" w:color="010000" w:sz="4" w:space="0"/>
              <w:right w:val="single" w:color="01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10000" w:sz="4" w:space="0"/>
              <w:left w:val="single" w:color="010000" w:sz="4" w:space="0"/>
              <w:bottom w:val="single" w:color="010000" w:sz="4" w:space="0"/>
              <w:right w:val="single" w:color="01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1,393.00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375.00 </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一、解决历史遗留问题及改革成本支出</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10000" w:sz="4" w:space="0"/>
              <w:left w:val="single" w:color="010000" w:sz="4" w:space="0"/>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64" w:hRule="atLeast"/>
        </w:trPr>
        <w:tc>
          <w:tcPr>
            <w:tcW w:w="0" w:type="auto"/>
            <w:tcBorders>
              <w:top w:val="single" w:color="010000" w:sz="4" w:space="0"/>
              <w:left w:val="single" w:color="010000" w:sz="4" w:space="0"/>
              <w:bottom w:val="single" w:color="010000" w:sz="4" w:space="0"/>
              <w:right w:val="single" w:color="01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二、股利、股息收入</w:t>
            </w:r>
          </w:p>
        </w:tc>
        <w:tc>
          <w:tcPr>
            <w:tcW w:w="0" w:type="auto"/>
            <w:tcBorders>
              <w:top w:val="single" w:color="010000" w:sz="4" w:space="0"/>
              <w:left w:val="single" w:color="010000" w:sz="4" w:space="0"/>
              <w:bottom w:val="single" w:color="010000" w:sz="4" w:space="0"/>
              <w:right w:val="single" w:color="01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10000" w:sz="4" w:space="0"/>
              <w:left w:val="single" w:color="010000" w:sz="4" w:space="0"/>
              <w:bottom w:val="single" w:color="010000" w:sz="4" w:space="0"/>
              <w:right w:val="single" w:color="01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10000" w:sz="4" w:space="0"/>
              <w:left w:val="single" w:color="010000" w:sz="4" w:space="0"/>
              <w:bottom w:val="single" w:color="01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二、国有企业资本金注入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263.00 </w:t>
            </w:r>
          </w:p>
        </w:tc>
      </w:tr>
      <w:tr>
        <w:tblPrEx>
          <w:shd w:val="clear" w:color="auto" w:fill="auto"/>
          <w:tblCellMar>
            <w:top w:w="0" w:type="dxa"/>
            <w:left w:w="108" w:type="dxa"/>
            <w:bottom w:w="0" w:type="dxa"/>
            <w:right w:w="108" w:type="dxa"/>
          </w:tblCellMar>
        </w:tblPrEx>
        <w:trPr>
          <w:trHeight w:val="664" w:hRule="atLeast"/>
        </w:trPr>
        <w:tc>
          <w:tcPr>
            <w:tcW w:w="0" w:type="auto"/>
            <w:tcBorders>
              <w:top w:val="single" w:color="010000" w:sz="4" w:space="0"/>
              <w:left w:val="single" w:color="010000" w:sz="4" w:space="0"/>
              <w:bottom w:val="single" w:color="010000" w:sz="4" w:space="0"/>
              <w:right w:val="single" w:color="01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三、产权转让收入</w:t>
            </w:r>
          </w:p>
        </w:tc>
        <w:tc>
          <w:tcPr>
            <w:tcW w:w="0" w:type="auto"/>
            <w:tcBorders>
              <w:top w:val="single" w:color="010000" w:sz="4" w:space="0"/>
              <w:left w:val="single" w:color="010000" w:sz="4" w:space="0"/>
              <w:bottom w:val="single" w:color="010000" w:sz="4" w:space="0"/>
              <w:right w:val="single" w:color="01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10000" w:sz="4" w:space="0"/>
              <w:left w:val="single" w:color="010000" w:sz="4" w:space="0"/>
              <w:bottom w:val="single" w:color="010000" w:sz="4" w:space="0"/>
              <w:right w:val="single" w:color="01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10000" w:sz="4" w:space="0"/>
              <w:left w:val="single" w:color="010000" w:sz="4" w:space="0"/>
              <w:bottom w:val="single" w:color="01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三、国有企业政策性补贴</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single" w:color="010000" w:sz="4" w:space="0"/>
              <w:bottom w:val="single" w:color="01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64" w:hRule="atLeast"/>
        </w:trPr>
        <w:tc>
          <w:tcPr>
            <w:tcW w:w="0" w:type="auto"/>
            <w:tcBorders>
              <w:top w:val="single" w:color="010000" w:sz="4" w:space="0"/>
              <w:left w:val="single" w:color="010000" w:sz="4" w:space="0"/>
              <w:bottom w:val="single" w:color="010000" w:sz="4" w:space="0"/>
              <w:right w:val="single" w:color="01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四、清算收入</w:t>
            </w:r>
          </w:p>
        </w:tc>
        <w:tc>
          <w:tcPr>
            <w:tcW w:w="0" w:type="auto"/>
            <w:tcBorders>
              <w:top w:val="single" w:color="010000" w:sz="4" w:space="0"/>
              <w:left w:val="single" w:color="010000" w:sz="4" w:space="0"/>
              <w:bottom w:val="single" w:color="010000" w:sz="4" w:space="0"/>
              <w:right w:val="single" w:color="01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10000" w:sz="4" w:space="0"/>
              <w:left w:val="single" w:color="010000" w:sz="4" w:space="0"/>
              <w:bottom w:val="single" w:color="010000" w:sz="4" w:space="0"/>
              <w:right w:val="single" w:color="01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10000" w:sz="4" w:space="0"/>
              <w:left w:val="single" w:color="010000" w:sz="4" w:space="0"/>
              <w:bottom w:val="single" w:color="01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四、其他国有资本经营预算支出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10000" w:sz="4" w:space="0"/>
              <w:left w:val="single" w:color="010000" w:sz="4" w:space="0"/>
              <w:bottom w:val="single" w:color="01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64" w:hRule="atLeast"/>
        </w:trPr>
        <w:tc>
          <w:tcPr>
            <w:tcW w:w="2082" w:type="dxa"/>
            <w:tcBorders>
              <w:top w:val="single" w:color="010000" w:sz="4" w:space="0"/>
              <w:left w:val="single" w:color="010000" w:sz="4" w:space="0"/>
              <w:bottom w:val="single" w:color="010000" w:sz="4" w:space="0"/>
              <w:right w:val="single" w:color="01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五、其他国有资本经营预算收入</w:t>
            </w:r>
          </w:p>
        </w:tc>
        <w:tc>
          <w:tcPr>
            <w:tcW w:w="0" w:type="auto"/>
            <w:tcBorders>
              <w:top w:val="single" w:color="010000" w:sz="4" w:space="0"/>
              <w:left w:val="single" w:color="010000" w:sz="4" w:space="0"/>
              <w:bottom w:val="single" w:color="010000" w:sz="4" w:space="0"/>
              <w:right w:val="single" w:color="01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10000" w:sz="4" w:space="0"/>
              <w:left w:val="single" w:color="010000" w:sz="4" w:space="0"/>
              <w:bottom w:val="single" w:color="010000" w:sz="4" w:space="0"/>
              <w:right w:val="single" w:color="01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10000" w:sz="4" w:space="0"/>
              <w:left w:val="single" w:color="010000" w:sz="4" w:space="0"/>
              <w:bottom w:val="single" w:color="01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10000" w:sz="4" w:space="0"/>
              <w:left w:val="single" w:color="010000" w:sz="4" w:space="0"/>
              <w:bottom w:val="single" w:color="01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16" w:hRule="atLeast"/>
        </w:trPr>
        <w:tc>
          <w:tcPr>
            <w:tcW w:w="2082" w:type="dxa"/>
            <w:tcBorders>
              <w:top w:val="single" w:color="010000" w:sz="4" w:space="0"/>
              <w:left w:val="single" w:color="010000" w:sz="4" w:space="0"/>
              <w:bottom w:val="single" w:color="010000" w:sz="4" w:space="0"/>
              <w:right w:val="single" w:color="01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10000" w:sz="4" w:space="0"/>
              <w:left w:val="single" w:color="010000" w:sz="4" w:space="0"/>
              <w:bottom w:val="single" w:color="010000" w:sz="4" w:space="0"/>
              <w:right w:val="single" w:color="01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10000" w:sz="4" w:space="0"/>
              <w:left w:val="single" w:color="010000" w:sz="4" w:space="0"/>
              <w:bottom w:val="single" w:color="010000" w:sz="4" w:space="0"/>
              <w:right w:val="single" w:color="01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10000" w:sz="4" w:space="0"/>
              <w:left w:val="single" w:color="010000" w:sz="4" w:space="0"/>
              <w:bottom w:val="single" w:color="01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10000" w:sz="4" w:space="0"/>
              <w:left w:val="single" w:color="010000" w:sz="4" w:space="0"/>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16" w:hRule="atLeast"/>
        </w:trPr>
        <w:tc>
          <w:tcPr>
            <w:tcW w:w="2082" w:type="dxa"/>
            <w:tcBorders>
              <w:top w:val="single" w:color="010000" w:sz="4" w:space="0"/>
              <w:left w:val="single" w:color="010000" w:sz="4" w:space="0"/>
              <w:bottom w:val="single" w:color="010000" w:sz="4" w:space="0"/>
              <w:right w:val="single" w:color="01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收入合计</w:t>
            </w:r>
          </w:p>
        </w:tc>
        <w:tc>
          <w:tcPr>
            <w:tcW w:w="0" w:type="auto"/>
            <w:tcBorders>
              <w:top w:val="single" w:color="010000" w:sz="4" w:space="0"/>
              <w:left w:val="single" w:color="010000" w:sz="4" w:space="0"/>
              <w:bottom w:val="single" w:color="010000" w:sz="4" w:space="0"/>
              <w:right w:val="single" w:color="01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10000" w:sz="4" w:space="0"/>
              <w:left w:val="single" w:color="010000" w:sz="4" w:space="0"/>
              <w:bottom w:val="single" w:color="010000" w:sz="4" w:space="0"/>
              <w:right w:val="single" w:color="01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1,393.00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375.00 </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263.00 </w:t>
            </w:r>
          </w:p>
        </w:tc>
      </w:tr>
      <w:tr>
        <w:tblPrEx>
          <w:shd w:val="clear" w:color="auto" w:fill="auto"/>
          <w:tblCellMar>
            <w:top w:w="0" w:type="dxa"/>
            <w:left w:w="108" w:type="dxa"/>
            <w:bottom w:w="0" w:type="dxa"/>
            <w:right w:w="108" w:type="dxa"/>
          </w:tblCellMar>
        </w:tblPrEx>
        <w:trPr>
          <w:trHeight w:val="664" w:hRule="atLeast"/>
        </w:trPr>
        <w:tc>
          <w:tcPr>
            <w:tcW w:w="2082" w:type="dxa"/>
            <w:tcBorders>
              <w:top w:val="single" w:color="010000" w:sz="4" w:space="0"/>
              <w:left w:val="single" w:color="010000" w:sz="4" w:space="0"/>
              <w:bottom w:val="single" w:color="010000" w:sz="4" w:space="0"/>
              <w:right w:val="single" w:color="01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国有资本经营预算转移支付收入</w:t>
            </w:r>
          </w:p>
        </w:tc>
        <w:tc>
          <w:tcPr>
            <w:tcW w:w="0" w:type="auto"/>
            <w:tcBorders>
              <w:top w:val="single" w:color="010000" w:sz="4" w:space="0"/>
              <w:left w:val="single" w:color="010000" w:sz="4" w:space="0"/>
              <w:bottom w:val="single" w:color="010000" w:sz="4" w:space="0"/>
              <w:right w:val="single" w:color="01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10000" w:sz="4" w:space="0"/>
              <w:left w:val="single" w:color="010000" w:sz="4" w:space="0"/>
              <w:bottom w:val="single" w:color="010000" w:sz="4" w:space="0"/>
              <w:right w:val="single" w:color="01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10000" w:sz="4" w:space="0"/>
              <w:left w:val="single" w:color="010000" w:sz="4" w:space="0"/>
              <w:bottom w:val="single" w:color="01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国有资本经营预算转移支付支出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single" w:color="010000" w:sz="4" w:space="0"/>
              <w:bottom w:val="single" w:color="01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64" w:hRule="atLeast"/>
        </w:trPr>
        <w:tc>
          <w:tcPr>
            <w:tcW w:w="0" w:type="auto"/>
            <w:tcBorders>
              <w:top w:val="single" w:color="010000" w:sz="4" w:space="0"/>
              <w:left w:val="single" w:color="010000" w:sz="4" w:space="0"/>
              <w:bottom w:val="single" w:color="010000" w:sz="4" w:space="0"/>
              <w:right w:val="single" w:color="01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w:t>
            </w:r>
          </w:p>
        </w:tc>
        <w:tc>
          <w:tcPr>
            <w:tcW w:w="0" w:type="auto"/>
            <w:tcBorders>
              <w:top w:val="single" w:color="010000" w:sz="4" w:space="0"/>
              <w:left w:val="single" w:color="010000" w:sz="4" w:space="0"/>
              <w:bottom w:val="single" w:color="010000" w:sz="4" w:space="0"/>
              <w:right w:val="single" w:color="01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10000" w:sz="4" w:space="0"/>
              <w:left w:val="single" w:color="010000" w:sz="4" w:space="0"/>
              <w:bottom w:val="single" w:color="010000" w:sz="4" w:space="0"/>
              <w:right w:val="single" w:color="01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528.00 </w:t>
            </w:r>
          </w:p>
        </w:tc>
        <w:tc>
          <w:tcPr>
            <w:tcW w:w="0" w:type="auto"/>
            <w:tcBorders>
              <w:top w:val="single" w:color="010000" w:sz="4" w:space="0"/>
              <w:left w:val="single" w:color="010000" w:sz="4" w:space="0"/>
              <w:bottom w:val="single" w:color="01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国有资本经营预算调出资金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10000" w:sz="4" w:space="0"/>
              <w:left w:val="single" w:color="010000" w:sz="4" w:space="0"/>
              <w:bottom w:val="single" w:color="01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112.00 </w:t>
            </w:r>
          </w:p>
        </w:tc>
      </w:tr>
      <w:tr>
        <w:tblPrEx>
          <w:tblCellMar>
            <w:top w:w="0" w:type="dxa"/>
            <w:left w:w="108" w:type="dxa"/>
            <w:bottom w:w="0" w:type="dxa"/>
            <w:right w:w="108" w:type="dxa"/>
          </w:tblCellMar>
        </w:tblPrEx>
        <w:trPr>
          <w:trHeight w:val="516" w:hRule="atLeast"/>
        </w:trPr>
        <w:tc>
          <w:tcPr>
            <w:tcW w:w="0" w:type="auto"/>
            <w:tcBorders>
              <w:top w:val="single" w:color="010000" w:sz="4" w:space="0"/>
              <w:left w:val="single" w:color="010000" w:sz="4" w:space="0"/>
              <w:bottom w:val="single" w:color="010000" w:sz="4" w:space="0"/>
              <w:right w:val="single" w:color="01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10000" w:sz="4" w:space="0"/>
              <w:left w:val="single" w:color="010000" w:sz="4" w:space="0"/>
              <w:bottom w:val="single" w:color="010000" w:sz="4" w:space="0"/>
              <w:right w:val="single" w:color="01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10000" w:sz="4" w:space="0"/>
              <w:left w:val="single" w:color="010000" w:sz="4" w:space="0"/>
              <w:bottom w:val="single" w:color="010000" w:sz="4" w:space="0"/>
              <w:right w:val="single" w:color="01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10000" w:sz="4" w:space="0"/>
              <w:left w:val="single" w:color="010000" w:sz="4" w:space="0"/>
              <w:bottom w:val="single" w:color="01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结转下年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10000" w:sz="4" w:space="0"/>
              <w:left w:val="single" w:color="010000" w:sz="4" w:space="0"/>
              <w:bottom w:val="single" w:color="01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25" w:hRule="atLeast"/>
        </w:trPr>
        <w:tc>
          <w:tcPr>
            <w:tcW w:w="0" w:type="auto"/>
            <w:tcBorders>
              <w:top w:val="single" w:color="010000" w:sz="4" w:space="0"/>
              <w:left w:val="single" w:color="010000" w:sz="4" w:space="0"/>
              <w:bottom w:val="single" w:color="010000" w:sz="4" w:space="0"/>
              <w:right w:val="single" w:color="01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收入总计</w:t>
            </w:r>
          </w:p>
        </w:tc>
        <w:tc>
          <w:tcPr>
            <w:tcW w:w="0" w:type="auto"/>
            <w:tcBorders>
              <w:top w:val="single" w:color="010000" w:sz="4" w:space="0"/>
              <w:left w:val="single" w:color="010000" w:sz="4" w:space="0"/>
              <w:bottom w:val="single" w:color="010000" w:sz="4" w:space="0"/>
              <w:right w:val="single" w:color="01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10000" w:sz="4" w:space="0"/>
              <w:left w:val="single" w:color="010000" w:sz="4" w:space="0"/>
              <w:bottom w:val="single" w:color="010000" w:sz="4" w:space="0"/>
              <w:right w:val="single" w:color="01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1,921.00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10000" w:sz="4" w:space="0"/>
              <w:left w:val="single" w:color="010000" w:sz="4" w:space="0"/>
              <w:bottom w:val="single" w:color="01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1,921.00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375.00 </w:t>
            </w:r>
          </w:p>
        </w:tc>
      </w:tr>
    </w:tbl>
    <w:p>
      <w:pPr>
        <w:widowControl/>
        <w:jc w:val="left"/>
        <w:outlineLvl w:val="1"/>
        <w:rPr>
          <w:rFonts w:hint="eastAsia" w:ascii="宋体" w:hAnsi="宋体" w:eastAsia="宋体"/>
          <w:kern w:val="0"/>
          <w:sz w:val="20"/>
          <w:szCs w:val="20"/>
          <w:lang w:eastAsia="zh-CN"/>
        </w:rPr>
      </w:pPr>
      <w:r>
        <w:rPr>
          <w:rFonts w:hint="eastAsia" w:ascii="宋体" w:hAnsi="宋体"/>
          <w:kern w:val="0"/>
          <w:sz w:val="20"/>
          <w:szCs w:val="20"/>
        </w:rPr>
        <w:t>表</w:t>
      </w:r>
      <w:r>
        <w:rPr>
          <w:rFonts w:hint="eastAsia" w:ascii="宋体" w:hAnsi="宋体"/>
          <w:kern w:val="0"/>
          <w:sz w:val="20"/>
          <w:szCs w:val="20"/>
          <w:lang w:val="en-US" w:eastAsia="zh-CN"/>
        </w:rPr>
        <w:t>8</w:t>
      </w:r>
    </w:p>
    <w:p>
      <w:pPr>
        <w:widowControl/>
        <w:jc w:val="both"/>
        <w:outlineLvl w:val="1"/>
        <w:rPr>
          <w:rFonts w:ascii="黑体" w:hAnsi="黑体" w:eastAsia="黑体"/>
          <w:kern w:val="0"/>
          <w:sz w:val="32"/>
          <w:szCs w:val="32"/>
          <w:lang w:eastAsia="zh-Hans"/>
        </w:rPr>
      </w:pPr>
    </w:p>
    <w:p>
      <w:pPr>
        <w:widowControl/>
        <w:jc w:val="center"/>
        <w:outlineLvl w:val="1"/>
        <w:rPr>
          <w:rFonts w:ascii="宋体" w:hAnsi="宋体"/>
          <w:b/>
          <w:kern w:val="0"/>
          <w:sz w:val="20"/>
          <w:szCs w:val="20"/>
        </w:rPr>
      </w:pPr>
      <w:r>
        <w:rPr>
          <w:rFonts w:hint="eastAsia" w:ascii="宋体" w:hAnsi="宋体"/>
          <w:b/>
          <w:kern w:val="0"/>
          <w:sz w:val="20"/>
          <w:szCs w:val="20"/>
        </w:rPr>
        <w:t>2022年</w:t>
      </w:r>
      <w:r>
        <w:rPr>
          <w:rFonts w:hint="eastAsia" w:ascii="宋体" w:hAnsi="宋体"/>
          <w:b/>
          <w:kern w:val="0"/>
          <w:sz w:val="20"/>
          <w:szCs w:val="20"/>
          <w:lang w:eastAsia="zh-CN"/>
        </w:rPr>
        <w:t>准东开发区</w:t>
      </w:r>
      <w:r>
        <w:rPr>
          <w:rFonts w:hint="eastAsia" w:ascii="宋体" w:hAnsi="宋体"/>
          <w:b/>
          <w:kern w:val="0"/>
          <w:sz w:val="20"/>
          <w:szCs w:val="20"/>
        </w:rPr>
        <w:t>国有资本经营预算收入表</w:t>
      </w:r>
    </w:p>
    <w:p>
      <w:pPr>
        <w:widowControl/>
        <w:jc w:val="right"/>
        <w:outlineLvl w:val="1"/>
        <w:rPr>
          <w:rFonts w:ascii="宋体" w:hAnsi="宋体"/>
          <w:kern w:val="0"/>
          <w:sz w:val="20"/>
          <w:szCs w:val="20"/>
        </w:rPr>
      </w:pPr>
      <w:r>
        <w:rPr>
          <w:rFonts w:hint="eastAsia" w:ascii="宋体" w:hAnsi="宋体"/>
          <w:kern w:val="0"/>
          <w:sz w:val="20"/>
          <w:szCs w:val="20"/>
        </w:rPr>
        <w:t>单位：万元</w:t>
      </w:r>
    </w:p>
    <w:tbl>
      <w:tblPr>
        <w:tblStyle w:val="5"/>
        <w:tblW w:w="9778" w:type="dxa"/>
        <w:tblInd w:w="96" w:type="dxa"/>
        <w:shd w:val="clear" w:color="auto" w:fill="auto"/>
        <w:tblLayout w:type="autofit"/>
        <w:tblCellMar>
          <w:top w:w="0" w:type="dxa"/>
          <w:left w:w="108" w:type="dxa"/>
          <w:bottom w:w="0" w:type="dxa"/>
          <w:right w:w="108" w:type="dxa"/>
        </w:tblCellMar>
      </w:tblPr>
      <w:tblGrid>
        <w:gridCol w:w="1264"/>
        <w:gridCol w:w="4913"/>
        <w:gridCol w:w="1231"/>
        <w:gridCol w:w="1231"/>
        <w:gridCol w:w="1139"/>
      </w:tblGrid>
      <w:tr>
        <w:tblPrEx>
          <w:shd w:val="clear" w:color="auto" w:fill="auto"/>
          <w:tblCellMar>
            <w:top w:w="0" w:type="dxa"/>
            <w:left w:w="108" w:type="dxa"/>
            <w:bottom w:w="0" w:type="dxa"/>
            <w:right w:w="108" w:type="dxa"/>
          </w:tblCellMar>
        </w:tblPrEx>
        <w:trPr>
          <w:trHeight w:val="767" w:hRule="atLeast"/>
        </w:trPr>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4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科目名称∕企业</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2021年执行数</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2022年预算数</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2022年为2021年的%</w:t>
            </w: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一、利润收入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103060107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煤炭企业利润收入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103060108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有色冶金采掘企业利润收入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103060109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钢铁企业利润收入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103060112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化工企业利润收入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103060113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运输企业利润收入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103060114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电子企业利润收入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103060115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机械企业利润收入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103060116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投资服务企业利润收入</w:t>
            </w:r>
          </w:p>
        </w:tc>
        <w:tc>
          <w:tcPr>
            <w:tcW w:w="0" w:type="auto"/>
            <w:tcBorders>
              <w:top w:val="single" w:color="010000" w:sz="4" w:space="0"/>
              <w:left w:val="single" w:color="010000" w:sz="4" w:space="0"/>
              <w:bottom w:val="single" w:color="010000" w:sz="4" w:space="0"/>
              <w:right w:val="single" w:color="01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33.3</w:t>
            </w:r>
            <w:r>
              <w:rPr>
                <w:rFonts w:hint="eastAsia" w:ascii="宋体" w:hAnsi="宋体" w:eastAsia="宋体" w:cs="宋体"/>
                <w:i w:val="0"/>
                <w:iCs w:val="0"/>
                <w:color w:val="000000"/>
                <w:kern w:val="0"/>
                <w:sz w:val="22"/>
                <w:szCs w:val="22"/>
                <w:u w:val="none"/>
                <w:lang w:val="en-US" w:eastAsia="zh-CN" w:bidi="ar"/>
              </w:rPr>
              <w:t>%</w:t>
            </w: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103060117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纺织轻工企业利润收入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103060118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贸易企业利润收入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103060119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建筑施工企业利润收入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103060120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房地产企业利润收入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103060121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建材企业利润收入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103060124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医药企业利润收入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103060125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农林牧渔企业利润收入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103060134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金融企业利润收入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103060198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其他国有资本经营预算企业利润收入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二、股利、股息收入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103060202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国有控股公司股利、股息收入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103060103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国有参股公司股利、股息收入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103060104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金融企业股利、股息收入（国资预算）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103060105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其他国有资本经营预算企业股利、股息收入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三、产权转让收入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103060304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国有股权、股份转让收入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103060105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国有独资企业产权转让收入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103060107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金融企业产权转让收入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103060107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其他国有资本经营预算企业产权转让收入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四、清算收入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103060401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国有股权、股份清算收入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103060402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国有独资企业清算收入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103060498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其他国有资本经营预算企业清算收入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五、其他国有资本经营预算收入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33</w:t>
            </w:r>
            <w:r>
              <w:rPr>
                <w:rFonts w:hint="eastAsia" w:ascii="宋体" w:hAnsi="宋体" w:eastAsia="宋体" w:cs="宋体"/>
                <w:i w:val="0"/>
                <w:iCs w:val="0"/>
                <w:color w:val="000000"/>
                <w:kern w:val="0"/>
                <w:sz w:val="22"/>
                <w:szCs w:val="22"/>
                <w:u w:val="none"/>
                <w:lang w:val="en-US" w:eastAsia="zh-CN" w:bidi="ar"/>
              </w:rPr>
              <w:t>%</w:t>
            </w:r>
          </w:p>
        </w:tc>
      </w:tr>
    </w:tbl>
    <w:p>
      <w:pPr>
        <w:widowControl/>
        <w:jc w:val="center"/>
        <w:outlineLvl w:val="1"/>
        <w:rPr>
          <w:rFonts w:hint="eastAsia" w:ascii="宋体" w:hAnsi="宋体"/>
          <w:b/>
          <w:kern w:val="0"/>
          <w:sz w:val="20"/>
          <w:szCs w:val="20"/>
        </w:rPr>
      </w:pPr>
    </w:p>
    <w:p>
      <w:pPr>
        <w:widowControl/>
        <w:jc w:val="center"/>
        <w:outlineLvl w:val="1"/>
        <w:rPr>
          <w:rFonts w:hint="eastAsia" w:ascii="宋体" w:hAnsi="宋体"/>
          <w:b/>
          <w:kern w:val="0"/>
          <w:sz w:val="20"/>
          <w:szCs w:val="20"/>
        </w:rPr>
      </w:pPr>
    </w:p>
    <w:p>
      <w:pPr>
        <w:widowControl/>
        <w:jc w:val="left"/>
        <w:outlineLvl w:val="1"/>
        <w:rPr>
          <w:rFonts w:hint="eastAsia" w:ascii="宋体" w:hAnsi="宋体"/>
          <w:b/>
          <w:kern w:val="0"/>
          <w:sz w:val="20"/>
          <w:szCs w:val="20"/>
        </w:rPr>
      </w:pPr>
      <w:r>
        <w:rPr>
          <w:rFonts w:hint="eastAsia" w:ascii="宋体" w:hAnsi="宋体"/>
          <w:kern w:val="0"/>
          <w:sz w:val="20"/>
          <w:szCs w:val="20"/>
        </w:rPr>
        <w:t>表</w:t>
      </w:r>
      <w:r>
        <w:rPr>
          <w:rFonts w:hint="eastAsia" w:ascii="宋体" w:hAnsi="宋体"/>
          <w:kern w:val="0"/>
          <w:sz w:val="20"/>
          <w:szCs w:val="20"/>
          <w:lang w:val="en-US" w:eastAsia="zh-CN"/>
        </w:rPr>
        <w:t>9</w:t>
      </w:r>
    </w:p>
    <w:p>
      <w:pPr>
        <w:widowControl/>
        <w:jc w:val="center"/>
        <w:outlineLvl w:val="1"/>
        <w:rPr>
          <w:rFonts w:hint="eastAsia" w:ascii="宋体" w:hAnsi="宋体"/>
          <w:b/>
          <w:kern w:val="0"/>
          <w:sz w:val="20"/>
          <w:szCs w:val="20"/>
        </w:rPr>
      </w:pPr>
      <w:r>
        <w:rPr>
          <w:rFonts w:hint="eastAsia" w:ascii="宋体" w:hAnsi="宋体"/>
          <w:b/>
          <w:kern w:val="0"/>
          <w:sz w:val="20"/>
          <w:szCs w:val="20"/>
        </w:rPr>
        <w:t>2022年</w:t>
      </w:r>
      <w:r>
        <w:rPr>
          <w:rFonts w:hint="eastAsia" w:ascii="宋体" w:hAnsi="宋体"/>
          <w:b/>
          <w:kern w:val="0"/>
          <w:sz w:val="20"/>
          <w:szCs w:val="20"/>
          <w:lang w:eastAsia="zh-CN"/>
        </w:rPr>
        <w:t>准东开发区</w:t>
      </w:r>
      <w:r>
        <w:rPr>
          <w:rFonts w:hint="eastAsia" w:ascii="宋体" w:hAnsi="宋体"/>
          <w:b/>
          <w:kern w:val="0"/>
          <w:sz w:val="20"/>
          <w:szCs w:val="20"/>
        </w:rPr>
        <w:t>国有资本经营预算支出表</w:t>
      </w:r>
    </w:p>
    <w:p>
      <w:pPr>
        <w:widowControl/>
        <w:jc w:val="right"/>
        <w:outlineLvl w:val="1"/>
        <w:rPr>
          <w:rFonts w:hint="eastAsia" w:ascii="宋体" w:hAnsi="宋体" w:eastAsia="宋体"/>
          <w:b/>
          <w:kern w:val="0"/>
          <w:sz w:val="20"/>
          <w:szCs w:val="20"/>
          <w:lang w:eastAsia="zh-CN"/>
        </w:rPr>
      </w:pPr>
      <w:r>
        <w:rPr>
          <w:rFonts w:hint="eastAsia" w:ascii="宋体" w:hAnsi="宋体"/>
          <w:kern w:val="0"/>
          <w:sz w:val="20"/>
          <w:szCs w:val="20"/>
        </w:rPr>
        <w:t>单位：万元</w:t>
      </w:r>
    </w:p>
    <w:tbl>
      <w:tblPr>
        <w:tblStyle w:val="5"/>
        <w:tblpPr w:leftFromText="180" w:rightFromText="180" w:vertAnchor="text" w:horzAnchor="page" w:tblpX="613" w:tblpY="311"/>
        <w:tblOverlap w:val="never"/>
        <w:tblW w:w="10897" w:type="dxa"/>
        <w:tblInd w:w="0" w:type="dxa"/>
        <w:shd w:val="clear" w:color="auto" w:fill="auto"/>
        <w:tblLayout w:type="autofit"/>
        <w:tblCellMar>
          <w:top w:w="0" w:type="dxa"/>
          <w:left w:w="108" w:type="dxa"/>
          <w:bottom w:w="0" w:type="dxa"/>
          <w:right w:w="108" w:type="dxa"/>
        </w:tblCellMar>
      </w:tblPr>
      <w:tblGrid>
        <w:gridCol w:w="940"/>
        <w:gridCol w:w="4123"/>
        <w:gridCol w:w="1109"/>
        <w:gridCol w:w="1331"/>
        <w:gridCol w:w="975"/>
        <w:gridCol w:w="1465"/>
        <w:gridCol w:w="954"/>
      </w:tblGrid>
      <w:tr>
        <w:tblPrEx>
          <w:shd w:val="clear" w:color="auto" w:fill="auto"/>
          <w:tblCellMar>
            <w:top w:w="0" w:type="dxa"/>
            <w:left w:w="108" w:type="dxa"/>
            <w:bottom w:w="0" w:type="dxa"/>
            <w:right w:w="108" w:type="dxa"/>
          </w:tblCellMar>
        </w:tblPrEx>
        <w:trPr>
          <w:trHeight w:val="322" w:hRule="atLeast"/>
        </w:trPr>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4123" w:type="dxa"/>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科目名称 </w:t>
            </w: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2021年预算数</w:t>
            </w:r>
          </w:p>
        </w:tc>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2022年预算数</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2022年为2021年的%</w:t>
            </w:r>
          </w:p>
        </w:tc>
      </w:tr>
      <w:tr>
        <w:tblPrEx>
          <w:shd w:val="clear" w:color="auto" w:fill="auto"/>
          <w:tblCellMar>
            <w:top w:w="0" w:type="dxa"/>
            <w:left w:w="108" w:type="dxa"/>
            <w:bottom w:w="0" w:type="dxa"/>
            <w:right w:w="108" w:type="dxa"/>
          </w:tblCellMar>
        </w:tblPrEx>
        <w:trPr>
          <w:trHeight w:val="623" w:hRule="atLeast"/>
        </w:trPr>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123"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22301</w:t>
            </w:r>
          </w:p>
        </w:tc>
        <w:tc>
          <w:tcPr>
            <w:tcW w:w="412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一、解决历史遗留问题及改革成本支出</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4"/>
                <w:szCs w:val="24"/>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2230102</w:t>
            </w:r>
          </w:p>
        </w:tc>
        <w:tc>
          <w:tcPr>
            <w:tcW w:w="412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“三供一业”移交补助支出</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2230103</w:t>
            </w:r>
          </w:p>
        </w:tc>
        <w:tc>
          <w:tcPr>
            <w:tcW w:w="412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国有企业办职教幼教补助支出</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2230104</w:t>
            </w:r>
          </w:p>
        </w:tc>
        <w:tc>
          <w:tcPr>
            <w:tcW w:w="412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国有企业公共服务机构移交补助支出</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2230105</w:t>
            </w:r>
          </w:p>
        </w:tc>
        <w:tc>
          <w:tcPr>
            <w:tcW w:w="412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国有企业退休人员社会化管理补助支出</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2230106</w:t>
            </w:r>
          </w:p>
        </w:tc>
        <w:tc>
          <w:tcPr>
            <w:tcW w:w="412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国有企业棚户区改造支出</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2230107</w:t>
            </w:r>
          </w:p>
        </w:tc>
        <w:tc>
          <w:tcPr>
            <w:tcW w:w="412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国有企业改革成本支出</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2230109</w:t>
            </w:r>
          </w:p>
        </w:tc>
        <w:tc>
          <w:tcPr>
            <w:tcW w:w="4123"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金融企业改革性支出</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2230199</w:t>
            </w:r>
          </w:p>
        </w:tc>
        <w:tc>
          <w:tcPr>
            <w:tcW w:w="4123" w:type="dxa"/>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其他解决历史遗留问题及改革成本支出</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22302</w:t>
            </w:r>
          </w:p>
        </w:tc>
        <w:tc>
          <w:tcPr>
            <w:tcW w:w="412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二、国有企业资本金注入</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2230201</w:t>
            </w:r>
          </w:p>
        </w:tc>
        <w:tc>
          <w:tcPr>
            <w:tcW w:w="412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国有经济结构调整支出</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1,316.00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1,316.00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263.00 </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263.00 </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r>
      <w:tr>
        <w:tblPrEx>
          <w:shd w:val="clear" w:color="auto" w:fill="auto"/>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2230202</w:t>
            </w:r>
          </w:p>
        </w:tc>
        <w:tc>
          <w:tcPr>
            <w:tcW w:w="412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公益性设施投资支出</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2230203</w:t>
            </w:r>
          </w:p>
        </w:tc>
        <w:tc>
          <w:tcPr>
            <w:tcW w:w="412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前瞻性战略性产业发展支出</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2230204</w:t>
            </w:r>
          </w:p>
        </w:tc>
        <w:tc>
          <w:tcPr>
            <w:tcW w:w="412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生态环境保护支出</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2230205</w:t>
            </w:r>
          </w:p>
        </w:tc>
        <w:tc>
          <w:tcPr>
            <w:tcW w:w="412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支持科技进步支出</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2230206</w:t>
            </w:r>
          </w:p>
        </w:tc>
        <w:tc>
          <w:tcPr>
            <w:tcW w:w="412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保障国家经济安全支出</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2230207</w:t>
            </w:r>
          </w:p>
        </w:tc>
        <w:tc>
          <w:tcPr>
            <w:tcW w:w="412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对外投资合作支出</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2230208</w:t>
            </w:r>
          </w:p>
        </w:tc>
        <w:tc>
          <w:tcPr>
            <w:tcW w:w="412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金融企业资本性支出</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2230299</w:t>
            </w:r>
          </w:p>
        </w:tc>
        <w:tc>
          <w:tcPr>
            <w:tcW w:w="412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其他国有企业资本金注入</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22303</w:t>
            </w:r>
          </w:p>
        </w:tc>
        <w:tc>
          <w:tcPr>
            <w:tcW w:w="412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三、国有企业政策性补贴</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2230301</w:t>
            </w:r>
          </w:p>
        </w:tc>
        <w:tc>
          <w:tcPr>
            <w:tcW w:w="412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国有企业政策性补贴</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2239999</w:t>
            </w:r>
          </w:p>
        </w:tc>
        <w:tc>
          <w:tcPr>
            <w:tcW w:w="412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四、其他国有资本经营预算支出</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123"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12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  计</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1,316.00 </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1,503.00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263.00 </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263.00 </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r>
      <w:tr>
        <w:tblPrEx>
          <w:shd w:val="clear" w:color="auto" w:fill="auto"/>
          <w:tblCellMar>
            <w:top w:w="0" w:type="dxa"/>
            <w:left w:w="108" w:type="dxa"/>
            <w:bottom w:w="0" w:type="dxa"/>
            <w:right w:w="108" w:type="dxa"/>
          </w:tblCellMar>
        </w:tblPrEx>
        <w:trPr>
          <w:trHeight w:val="3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2300501</w:t>
            </w:r>
          </w:p>
        </w:tc>
        <w:tc>
          <w:tcPr>
            <w:tcW w:w="412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国有资本经营预算转移支付支出</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Arial" w:hAnsi="Arial" w:cs="Arial"/>
                <w:i w:val="0"/>
                <w:iCs w:val="0"/>
                <w:color w:val="000000"/>
                <w:sz w:val="20"/>
                <w:szCs w:val="20"/>
                <w:u w:val="none"/>
              </w:rPr>
            </w:pPr>
          </w:p>
        </w:tc>
      </w:tr>
      <w:tr>
        <w:tblPrEx>
          <w:tblCellMar>
            <w:top w:w="0" w:type="dxa"/>
            <w:left w:w="108" w:type="dxa"/>
            <w:bottom w:w="0" w:type="dxa"/>
            <w:right w:w="108" w:type="dxa"/>
          </w:tblCellMar>
        </w:tblPrEx>
        <w:trPr>
          <w:trHeight w:val="34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2300803</w:t>
            </w:r>
          </w:p>
        </w:tc>
        <w:tc>
          <w:tcPr>
            <w:tcW w:w="4123"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国有资本经营预算调出资金</w:t>
            </w:r>
          </w:p>
        </w:tc>
        <w:tc>
          <w:tcPr>
            <w:tcW w:w="1109" w:type="dxa"/>
            <w:tcBorders>
              <w:top w:val="single" w:color="010000" w:sz="4" w:space="0"/>
              <w:left w:val="single" w:color="010000" w:sz="4" w:space="0"/>
              <w:bottom w:val="single" w:color="01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418.00 </w:t>
            </w:r>
          </w:p>
        </w:tc>
        <w:tc>
          <w:tcPr>
            <w:tcW w:w="1331" w:type="dxa"/>
            <w:tcBorders>
              <w:top w:val="single" w:color="010000" w:sz="4" w:space="0"/>
              <w:left w:val="single" w:color="010000" w:sz="4" w:space="0"/>
              <w:bottom w:val="single" w:color="01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418.00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112.00 </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112.00 </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tc>
      </w:tr>
    </w:tbl>
    <w:p>
      <w:pPr>
        <w:widowControl/>
        <w:jc w:val="center"/>
        <w:outlineLvl w:val="1"/>
        <w:rPr>
          <w:rFonts w:ascii="宋体" w:hAnsi="宋体"/>
          <w:kern w:val="0"/>
          <w:sz w:val="20"/>
          <w:szCs w:val="20"/>
        </w:rPr>
      </w:pPr>
    </w:p>
    <w:p>
      <w:pPr>
        <w:widowControl/>
        <w:jc w:val="both"/>
        <w:outlineLvl w:val="1"/>
        <w:rPr>
          <w:rFonts w:ascii="黑体" w:hAnsi="黑体" w:eastAsia="黑体"/>
          <w:kern w:val="0"/>
          <w:sz w:val="32"/>
          <w:szCs w:val="32"/>
          <w:lang w:eastAsia="zh-Hans"/>
        </w:rPr>
      </w:pPr>
    </w:p>
    <w:p>
      <w:pPr>
        <w:widowControl/>
        <w:jc w:val="center"/>
        <w:outlineLvl w:val="1"/>
        <w:rPr>
          <w:rFonts w:ascii="黑体" w:hAnsi="黑体" w:eastAsia="黑体"/>
          <w:kern w:val="0"/>
          <w:sz w:val="32"/>
          <w:szCs w:val="32"/>
          <w:lang w:eastAsia="zh-Hans"/>
        </w:rPr>
      </w:pPr>
    </w:p>
    <w:p>
      <w:pPr>
        <w:widowControl/>
        <w:jc w:val="center"/>
        <w:outlineLvl w:val="1"/>
        <w:rPr>
          <w:rFonts w:ascii="黑体" w:hAnsi="黑体" w:eastAsia="黑体"/>
          <w:kern w:val="0"/>
          <w:sz w:val="32"/>
          <w:szCs w:val="32"/>
          <w:lang w:eastAsia="zh-Hans"/>
        </w:rPr>
      </w:pPr>
    </w:p>
    <w:p>
      <w:pPr>
        <w:widowControl/>
        <w:spacing w:line="240" w:lineRule="auto"/>
        <w:ind w:firstLine="320" w:firstLineChars="100"/>
        <w:jc w:val="center"/>
        <w:outlineLvl w:val="1"/>
        <w:rPr>
          <w:rFonts w:ascii="黑体" w:hAnsi="黑体" w:eastAsia="黑体"/>
          <w:kern w:val="0"/>
          <w:sz w:val="32"/>
          <w:szCs w:val="32"/>
          <w:lang w:eastAsia="zh-Hans"/>
        </w:rPr>
      </w:pPr>
      <w:r>
        <w:rPr>
          <w:rFonts w:ascii="黑体" w:hAnsi="黑体" w:eastAsia="黑体"/>
          <w:kern w:val="0"/>
          <w:sz w:val="32"/>
          <w:szCs w:val="32"/>
          <w:lang w:eastAsia="zh-Hans"/>
        </w:rPr>
        <w:t>第</w:t>
      </w:r>
      <w:r>
        <w:rPr>
          <w:rFonts w:hint="eastAsia" w:ascii="黑体" w:hAnsi="黑体" w:eastAsia="黑体"/>
          <w:kern w:val="0"/>
          <w:sz w:val="32"/>
          <w:szCs w:val="32"/>
          <w:lang w:eastAsia="zh-Hans"/>
        </w:rPr>
        <w:t>三</w:t>
      </w:r>
      <w:r>
        <w:rPr>
          <w:rFonts w:ascii="黑体" w:hAnsi="黑体" w:eastAsia="黑体"/>
          <w:kern w:val="0"/>
          <w:sz w:val="32"/>
          <w:szCs w:val="32"/>
          <w:lang w:eastAsia="zh-Hans"/>
        </w:rPr>
        <w:t xml:space="preserve">部分  </w:t>
      </w:r>
      <w:r>
        <w:rPr>
          <w:rFonts w:hint="eastAsia" w:ascii="黑体" w:hAnsi="黑体" w:eastAsia="黑体"/>
          <w:kern w:val="0"/>
          <w:sz w:val="32"/>
          <w:szCs w:val="32"/>
          <w:lang w:eastAsia="zh-CN"/>
        </w:rPr>
        <w:t>准东开发区</w:t>
      </w:r>
      <w:r>
        <w:rPr>
          <w:rFonts w:hint="eastAsia" w:ascii="黑体" w:hAnsi="黑体" w:eastAsia="黑体"/>
          <w:kern w:val="0"/>
          <w:sz w:val="32"/>
          <w:szCs w:val="32"/>
          <w:lang w:eastAsia="zh-Hans"/>
        </w:rPr>
        <w:t>一般公共预算“三公”经费</w:t>
      </w:r>
      <w:r>
        <w:rPr>
          <w:rFonts w:ascii="黑体" w:hAnsi="黑体" w:eastAsia="黑体"/>
          <w:kern w:val="0"/>
          <w:sz w:val="32"/>
          <w:szCs w:val="32"/>
          <w:lang w:eastAsia="zh-Hans"/>
        </w:rPr>
        <w:t xml:space="preserve">            </w:t>
      </w:r>
      <w:r>
        <w:rPr>
          <w:rFonts w:hint="eastAsia" w:ascii="黑体" w:hAnsi="黑体" w:eastAsia="黑体"/>
          <w:kern w:val="0"/>
          <w:sz w:val="32"/>
          <w:szCs w:val="32"/>
          <w:lang w:eastAsia="zh-Hans"/>
        </w:rPr>
        <w:t>预算安排情况说明</w:t>
      </w:r>
    </w:p>
    <w:tbl>
      <w:tblPr>
        <w:tblStyle w:val="5"/>
        <w:tblpPr w:leftFromText="180" w:rightFromText="180" w:vertAnchor="text" w:horzAnchor="page" w:tblpX="1295" w:tblpY="306"/>
        <w:tblOverlap w:val="never"/>
        <w:tblW w:w="9200" w:type="dxa"/>
        <w:tblInd w:w="0" w:type="dxa"/>
        <w:tblLayout w:type="fixed"/>
        <w:tblCellMar>
          <w:top w:w="15" w:type="dxa"/>
          <w:left w:w="15" w:type="dxa"/>
          <w:bottom w:w="15" w:type="dxa"/>
          <w:right w:w="15" w:type="dxa"/>
        </w:tblCellMar>
      </w:tblPr>
      <w:tblGrid>
        <w:gridCol w:w="1044"/>
        <w:gridCol w:w="696"/>
        <w:gridCol w:w="3931"/>
        <w:gridCol w:w="3529"/>
      </w:tblGrid>
      <w:tr>
        <w:tblPrEx>
          <w:tblCellMar>
            <w:top w:w="15" w:type="dxa"/>
            <w:left w:w="15" w:type="dxa"/>
            <w:bottom w:w="15" w:type="dxa"/>
            <w:right w:w="15" w:type="dxa"/>
          </w:tblCellMar>
        </w:tblPrEx>
        <w:trPr>
          <w:trHeight w:val="285" w:hRule="atLeast"/>
        </w:trPr>
        <w:tc>
          <w:tcPr>
            <w:tcW w:w="1044" w:type="dxa"/>
            <w:vAlign w:val="center"/>
          </w:tcPr>
          <w:p>
            <w:pPr>
              <w:widowControl/>
              <w:jc w:val="left"/>
              <w:outlineLvl w:val="1"/>
              <w:rPr>
                <w:rFonts w:hint="default" w:ascii="宋体" w:hAnsi="宋体" w:eastAsia="宋体" w:cs="宋体"/>
                <w:color w:val="000000"/>
                <w:sz w:val="20"/>
                <w:szCs w:val="20"/>
                <w:lang w:val="en-US" w:eastAsia="zh-CN"/>
              </w:rPr>
            </w:pPr>
            <w:r>
              <w:rPr>
                <w:rFonts w:hint="eastAsia" w:ascii="宋体" w:hAnsi="宋体"/>
                <w:kern w:val="0"/>
                <w:sz w:val="20"/>
                <w:szCs w:val="20"/>
              </w:rPr>
              <w:t>表</w:t>
            </w:r>
            <w:r>
              <w:rPr>
                <w:rFonts w:hint="eastAsia" w:ascii="宋体" w:hAnsi="宋体"/>
                <w:kern w:val="0"/>
                <w:sz w:val="20"/>
                <w:szCs w:val="20"/>
                <w:lang w:val="en-US" w:eastAsia="zh-CN"/>
              </w:rPr>
              <w:t>10</w:t>
            </w:r>
          </w:p>
        </w:tc>
        <w:tc>
          <w:tcPr>
            <w:tcW w:w="696" w:type="dxa"/>
            <w:vAlign w:val="center"/>
          </w:tcPr>
          <w:p>
            <w:pPr>
              <w:rPr>
                <w:rFonts w:ascii="宋体" w:hAnsi="宋体" w:cs="宋体"/>
                <w:color w:val="000000"/>
                <w:sz w:val="20"/>
                <w:szCs w:val="20"/>
              </w:rPr>
            </w:pPr>
          </w:p>
        </w:tc>
        <w:tc>
          <w:tcPr>
            <w:tcW w:w="3931" w:type="dxa"/>
            <w:vAlign w:val="center"/>
          </w:tcPr>
          <w:p>
            <w:pPr>
              <w:rPr>
                <w:rFonts w:ascii="宋体" w:hAnsi="宋体" w:cs="宋体"/>
                <w:color w:val="000000"/>
                <w:sz w:val="20"/>
                <w:szCs w:val="20"/>
              </w:rPr>
            </w:pPr>
          </w:p>
        </w:tc>
        <w:tc>
          <w:tcPr>
            <w:tcW w:w="3529" w:type="dxa"/>
            <w:vAlign w:val="center"/>
          </w:tcPr>
          <w:p>
            <w:pPr>
              <w:rPr>
                <w:rFonts w:ascii="宋体" w:hAnsi="宋体" w:cs="宋体"/>
                <w:color w:val="000000"/>
                <w:sz w:val="20"/>
                <w:szCs w:val="20"/>
              </w:rPr>
            </w:pPr>
          </w:p>
        </w:tc>
      </w:tr>
      <w:tr>
        <w:tblPrEx>
          <w:tblCellMar>
            <w:top w:w="15" w:type="dxa"/>
            <w:left w:w="15" w:type="dxa"/>
            <w:bottom w:w="15" w:type="dxa"/>
            <w:right w:w="15" w:type="dxa"/>
          </w:tblCellMar>
        </w:tblPrEx>
        <w:trPr>
          <w:trHeight w:val="285" w:hRule="atLeast"/>
        </w:trPr>
        <w:tc>
          <w:tcPr>
            <w:tcW w:w="9200" w:type="dxa"/>
            <w:gridSpan w:val="4"/>
            <w:vAlign w:val="center"/>
          </w:tcPr>
          <w:p>
            <w:pPr>
              <w:widowControl/>
              <w:jc w:val="center"/>
              <w:textAlignment w:val="center"/>
              <w:rPr>
                <w:rFonts w:ascii="宋体" w:hAnsi="宋体" w:cs="宋体"/>
                <w:b/>
                <w:color w:val="000000"/>
                <w:kern w:val="0"/>
                <w:sz w:val="20"/>
                <w:szCs w:val="20"/>
                <w:lang w:bidi="ar"/>
              </w:rPr>
            </w:pPr>
            <w:r>
              <w:rPr>
                <w:rFonts w:hint="eastAsia" w:ascii="宋体" w:hAnsi="宋体" w:cs="宋体"/>
                <w:b/>
                <w:color w:val="000000"/>
                <w:kern w:val="0"/>
                <w:sz w:val="20"/>
                <w:szCs w:val="20"/>
                <w:lang w:bidi="ar"/>
              </w:rPr>
              <w:t>2022年</w:t>
            </w:r>
            <w:r>
              <w:rPr>
                <w:rFonts w:hint="eastAsia" w:ascii="宋体" w:hAnsi="宋体" w:cs="宋体"/>
                <w:b/>
                <w:color w:val="000000"/>
                <w:kern w:val="0"/>
                <w:sz w:val="20"/>
                <w:szCs w:val="20"/>
                <w:lang w:eastAsia="zh-CN" w:bidi="ar"/>
              </w:rPr>
              <w:t>准东开发区</w:t>
            </w:r>
            <w:r>
              <w:rPr>
                <w:rFonts w:hint="eastAsia" w:ascii="宋体" w:hAnsi="宋体" w:cs="宋体"/>
                <w:b/>
                <w:color w:val="000000"/>
                <w:kern w:val="0"/>
                <w:sz w:val="20"/>
                <w:szCs w:val="20"/>
                <w:lang w:bidi="ar"/>
              </w:rPr>
              <w:t>本级“三公”经费支出预算表</w:t>
            </w:r>
          </w:p>
          <w:p>
            <w:pPr>
              <w:widowControl/>
              <w:ind w:right="300"/>
              <w:jc w:val="right"/>
              <w:textAlignment w:val="center"/>
              <w:rPr>
                <w:rFonts w:ascii="宋体" w:hAnsi="宋体" w:cs="宋体"/>
                <w:b/>
                <w:color w:val="000000"/>
                <w:kern w:val="0"/>
                <w:sz w:val="20"/>
                <w:szCs w:val="20"/>
                <w:lang w:bidi="ar"/>
              </w:rPr>
            </w:pPr>
            <w:r>
              <w:rPr>
                <w:rFonts w:hint="eastAsia" w:ascii="宋体" w:hAnsi="宋体"/>
                <w:kern w:val="0"/>
                <w:sz w:val="20"/>
                <w:szCs w:val="20"/>
              </w:rPr>
              <w:t>单位：万元</w:t>
            </w:r>
          </w:p>
          <w:tbl>
            <w:tblPr>
              <w:tblStyle w:val="5"/>
              <w:tblW w:w="8500" w:type="dxa"/>
              <w:tblInd w:w="0" w:type="dxa"/>
              <w:tblLayout w:type="fixed"/>
              <w:tblCellMar>
                <w:top w:w="0" w:type="dxa"/>
                <w:left w:w="108" w:type="dxa"/>
                <w:bottom w:w="0" w:type="dxa"/>
                <w:right w:w="108" w:type="dxa"/>
              </w:tblCellMar>
            </w:tblPr>
            <w:tblGrid>
              <w:gridCol w:w="2260"/>
              <w:gridCol w:w="2413"/>
              <w:gridCol w:w="1843"/>
              <w:gridCol w:w="1984"/>
            </w:tblGrid>
            <w:tr>
              <w:tblPrEx>
                <w:tblCellMar>
                  <w:top w:w="0" w:type="dxa"/>
                  <w:left w:w="108" w:type="dxa"/>
                  <w:bottom w:w="0" w:type="dxa"/>
                  <w:right w:w="108" w:type="dxa"/>
                </w:tblCellMar>
              </w:tblPrEx>
              <w:trPr>
                <w:trHeight w:val="705" w:hRule="atLeast"/>
              </w:trPr>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项目</w:t>
                  </w:r>
                </w:p>
              </w:tc>
              <w:tc>
                <w:tcPr>
                  <w:tcW w:w="241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2021年预算数</w:t>
                  </w:r>
                </w:p>
              </w:tc>
              <w:tc>
                <w:tcPr>
                  <w:tcW w:w="184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2022年预算数</w:t>
                  </w:r>
                </w:p>
              </w:tc>
              <w:tc>
                <w:tcPr>
                  <w:tcW w:w="198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比上年增(减)%</w:t>
                  </w:r>
                </w:p>
              </w:tc>
            </w:tr>
            <w:tr>
              <w:tblPrEx>
                <w:tblCellMar>
                  <w:top w:w="0" w:type="dxa"/>
                  <w:left w:w="108" w:type="dxa"/>
                  <w:bottom w:w="0" w:type="dxa"/>
                  <w:right w:w="108" w:type="dxa"/>
                </w:tblCellMar>
              </w:tblPrEx>
              <w:trPr>
                <w:trHeight w:val="600" w:hRule="atLeast"/>
              </w:trPr>
              <w:tc>
                <w:tcPr>
                  <w:tcW w:w="226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413" w:type="dxa"/>
                  <w:tcBorders>
                    <w:top w:val="nil"/>
                    <w:left w:val="nil"/>
                    <w:bottom w:val="single" w:color="000000" w:sz="4" w:space="0"/>
                    <w:right w:val="single" w:color="000000" w:sz="4" w:space="0"/>
                  </w:tcBorders>
                  <w:shd w:val="clear" w:color="auto" w:fill="auto"/>
                  <w:vAlign w:val="center"/>
                </w:tcPr>
                <w:p>
                  <w:pPr>
                    <w:widowControl/>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eastAsiaTheme="minorEastAsia"/>
                      <w:color w:val="000000"/>
                      <w:kern w:val="0"/>
                      <w:sz w:val="20"/>
                      <w:szCs w:val="20"/>
                      <w:lang w:val="en-US" w:eastAsia="zh-CN"/>
                    </w:rPr>
                    <w:t>661</w:t>
                  </w:r>
                </w:p>
              </w:tc>
              <w:tc>
                <w:tcPr>
                  <w:tcW w:w="1843" w:type="dxa"/>
                  <w:tcBorders>
                    <w:top w:val="nil"/>
                    <w:left w:val="nil"/>
                    <w:bottom w:val="single" w:color="000000" w:sz="4" w:space="0"/>
                    <w:right w:val="single" w:color="000000" w:sz="4" w:space="0"/>
                  </w:tcBorders>
                  <w:shd w:val="clear" w:color="auto" w:fill="auto"/>
                  <w:vAlign w:val="center"/>
                </w:tcPr>
                <w:p>
                  <w:pPr>
                    <w:widowControl/>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eastAsiaTheme="minorEastAsia"/>
                      <w:color w:val="000000"/>
                      <w:kern w:val="0"/>
                      <w:sz w:val="20"/>
                      <w:szCs w:val="20"/>
                      <w:lang w:val="en-US" w:eastAsia="zh-CN"/>
                    </w:rPr>
                    <w:t>661</w:t>
                  </w:r>
                </w:p>
              </w:tc>
              <w:tc>
                <w:tcPr>
                  <w:tcW w:w="1984" w:type="dxa"/>
                  <w:tcBorders>
                    <w:top w:val="nil"/>
                    <w:left w:val="nil"/>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p>
              </w:tc>
            </w:tr>
            <w:tr>
              <w:tblPrEx>
                <w:tblCellMar>
                  <w:top w:w="0" w:type="dxa"/>
                  <w:left w:w="108" w:type="dxa"/>
                  <w:bottom w:w="0" w:type="dxa"/>
                  <w:right w:w="108" w:type="dxa"/>
                </w:tblCellMar>
              </w:tblPrEx>
              <w:trPr>
                <w:trHeight w:val="600" w:hRule="atLeast"/>
              </w:trPr>
              <w:tc>
                <w:tcPr>
                  <w:tcW w:w="22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1.因公出国（境）费用</w:t>
                  </w:r>
                </w:p>
              </w:tc>
              <w:tc>
                <w:tcPr>
                  <w:tcW w:w="2413" w:type="dxa"/>
                  <w:tcBorders>
                    <w:top w:val="nil"/>
                    <w:left w:val="nil"/>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0</w:t>
                  </w:r>
                </w:p>
              </w:tc>
              <w:tc>
                <w:tcPr>
                  <w:tcW w:w="1843" w:type="dxa"/>
                  <w:tcBorders>
                    <w:top w:val="nil"/>
                    <w:left w:val="nil"/>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0</w:t>
                  </w:r>
                </w:p>
              </w:tc>
              <w:tc>
                <w:tcPr>
                  <w:tcW w:w="1984" w:type="dxa"/>
                  <w:tcBorders>
                    <w:top w:val="nil"/>
                    <w:left w:val="nil"/>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w:t>
                  </w:r>
                </w:p>
              </w:tc>
            </w:tr>
            <w:tr>
              <w:tblPrEx>
                <w:tblCellMar>
                  <w:top w:w="0" w:type="dxa"/>
                  <w:left w:w="108" w:type="dxa"/>
                  <w:bottom w:w="0" w:type="dxa"/>
                  <w:right w:w="108" w:type="dxa"/>
                </w:tblCellMar>
              </w:tblPrEx>
              <w:trPr>
                <w:trHeight w:val="600" w:hRule="atLeast"/>
              </w:trPr>
              <w:tc>
                <w:tcPr>
                  <w:tcW w:w="22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2.公务接待费</w:t>
                  </w:r>
                </w:p>
              </w:tc>
              <w:tc>
                <w:tcPr>
                  <w:tcW w:w="2413" w:type="dxa"/>
                  <w:tcBorders>
                    <w:top w:val="nil"/>
                    <w:left w:val="nil"/>
                    <w:bottom w:val="single" w:color="000000" w:sz="4" w:space="0"/>
                    <w:right w:val="single" w:color="000000" w:sz="4" w:space="0"/>
                  </w:tcBorders>
                  <w:shd w:val="clear" w:color="auto" w:fill="auto"/>
                  <w:vAlign w:val="center"/>
                </w:tcPr>
                <w:p>
                  <w:pPr>
                    <w:widowControl/>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eastAsiaTheme="minorEastAsia"/>
                      <w:color w:val="000000"/>
                      <w:kern w:val="0"/>
                      <w:sz w:val="20"/>
                      <w:szCs w:val="20"/>
                      <w:lang w:val="en-US" w:eastAsia="zh-CN"/>
                    </w:rPr>
                    <w:t>138</w:t>
                  </w:r>
                </w:p>
              </w:tc>
              <w:tc>
                <w:tcPr>
                  <w:tcW w:w="1843" w:type="dxa"/>
                  <w:tcBorders>
                    <w:top w:val="nil"/>
                    <w:left w:val="nil"/>
                    <w:bottom w:val="single" w:color="000000" w:sz="4" w:space="0"/>
                    <w:right w:val="single" w:color="000000" w:sz="4" w:space="0"/>
                  </w:tcBorders>
                  <w:shd w:val="clear" w:color="auto" w:fill="auto"/>
                  <w:vAlign w:val="center"/>
                </w:tcPr>
                <w:p>
                  <w:pPr>
                    <w:widowControl/>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eastAsiaTheme="minorEastAsia"/>
                      <w:color w:val="000000"/>
                      <w:kern w:val="0"/>
                      <w:sz w:val="20"/>
                      <w:szCs w:val="20"/>
                      <w:lang w:val="en-US" w:eastAsia="zh-CN"/>
                    </w:rPr>
                    <w:t>138</w:t>
                  </w:r>
                </w:p>
              </w:tc>
              <w:tc>
                <w:tcPr>
                  <w:tcW w:w="1984" w:type="dxa"/>
                  <w:tcBorders>
                    <w:top w:val="nil"/>
                    <w:left w:val="nil"/>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p>
              </w:tc>
            </w:tr>
            <w:tr>
              <w:tblPrEx>
                <w:tblCellMar>
                  <w:top w:w="0" w:type="dxa"/>
                  <w:left w:w="108" w:type="dxa"/>
                  <w:bottom w:w="0" w:type="dxa"/>
                  <w:right w:w="108" w:type="dxa"/>
                </w:tblCellMar>
              </w:tblPrEx>
              <w:trPr>
                <w:trHeight w:val="600" w:hRule="atLeast"/>
              </w:trPr>
              <w:tc>
                <w:tcPr>
                  <w:tcW w:w="22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3.公务用车费</w:t>
                  </w:r>
                </w:p>
              </w:tc>
              <w:tc>
                <w:tcPr>
                  <w:tcW w:w="2413" w:type="dxa"/>
                  <w:tcBorders>
                    <w:top w:val="nil"/>
                    <w:left w:val="nil"/>
                    <w:bottom w:val="single" w:color="000000" w:sz="4" w:space="0"/>
                    <w:right w:val="single" w:color="000000" w:sz="4" w:space="0"/>
                  </w:tcBorders>
                  <w:shd w:val="clear" w:color="auto" w:fill="auto"/>
                  <w:vAlign w:val="center"/>
                </w:tcPr>
                <w:p>
                  <w:pPr>
                    <w:widowControl/>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eastAsiaTheme="minorEastAsia"/>
                      <w:color w:val="000000"/>
                      <w:kern w:val="0"/>
                      <w:sz w:val="20"/>
                      <w:szCs w:val="20"/>
                      <w:lang w:val="en-US" w:eastAsia="zh-CN"/>
                    </w:rPr>
                    <w:t>523</w:t>
                  </w:r>
                </w:p>
              </w:tc>
              <w:tc>
                <w:tcPr>
                  <w:tcW w:w="1843" w:type="dxa"/>
                  <w:tcBorders>
                    <w:top w:val="nil"/>
                    <w:left w:val="nil"/>
                    <w:bottom w:val="single" w:color="000000" w:sz="4" w:space="0"/>
                    <w:right w:val="single" w:color="000000" w:sz="4" w:space="0"/>
                  </w:tcBorders>
                  <w:shd w:val="clear" w:color="auto" w:fill="auto"/>
                  <w:vAlign w:val="center"/>
                </w:tcPr>
                <w:p>
                  <w:pPr>
                    <w:widowControl/>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eastAsiaTheme="minorEastAsia"/>
                      <w:color w:val="000000"/>
                      <w:kern w:val="0"/>
                      <w:sz w:val="20"/>
                      <w:szCs w:val="20"/>
                      <w:lang w:val="en-US" w:eastAsia="zh-CN"/>
                    </w:rPr>
                    <w:t>523</w:t>
                  </w:r>
                </w:p>
              </w:tc>
              <w:tc>
                <w:tcPr>
                  <w:tcW w:w="1984" w:type="dxa"/>
                  <w:tcBorders>
                    <w:top w:val="nil"/>
                    <w:left w:val="nil"/>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p>
              </w:tc>
            </w:tr>
            <w:tr>
              <w:tblPrEx>
                <w:tblCellMar>
                  <w:top w:w="0" w:type="dxa"/>
                  <w:left w:w="108" w:type="dxa"/>
                  <w:bottom w:w="0" w:type="dxa"/>
                  <w:right w:w="108" w:type="dxa"/>
                </w:tblCellMar>
              </w:tblPrEx>
              <w:trPr>
                <w:trHeight w:val="600" w:hRule="atLeast"/>
              </w:trPr>
              <w:tc>
                <w:tcPr>
                  <w:tcW w:w="22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其中：（1）公务用车运行维护费</w:t>
                  </w:r>
                </w:p>
              </w:tc>
              <w:tc>
                <w:tcPr>
                  <w:tcW w:w="2413" w:type="dxa"/>
                  <w:tcBorders>
                    <w:top w:val="nil"/>
                    <w:left w:val="nil"/>
                    <w:bottom w:val="single" w:color="000000" w:sz="4" w:space="0"/>
                    <w:right w:val="single" w:color="000000" w:sz="4" w:space="0"/>
                  </w:tcBorders>
                  <w:shd w:val="clear" w:color="auto" w:fill="auto"/>
                  <w:vAlign w:val="center"/>
                </w:tcPr>
                <w:p>
                  <w:pPr>
                    <w:widowControl/>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eastAsiaTheme="minorEastAsia"/>
                      <w:color w:val="000000"/>
                      <w:kern w:val="0"/>
                      <w:sz w:val="20"/>
                      <w:szCs w:val="20"/>
                      <w:lang w:val="en-US" w:eastAsia="zh-CN"/>
                    </w:rPr>
                    <w:t>523</w:t>
                  </w:r>
                </w:p>
              </w:tc>
              <w:tc>
                <w:tcPr>
                  <w:tcW w:w="1843" w:type="dxa"/>
                  <w:tcBorders>
                    <w:top w:val="nil"/>
                    <w:left w:val="nil"/>
                    <w:bottom w:val="single" w:color="000000" w:sz="4" w:space="0"/>
                    <w:right w:val="single" w:color="000000" w:sz="4" w:space="0"/>
                  </w:tcBorders>
                  <w:shd w:val="clear" w:color="auto" w:fill="auto"/>
                  <w:vAlign w:val="center"/>
                </w:tcPr>
                <w:p>
                  <w:pPr>
                    <w:widowControl/>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eastAsiaTheme="minorEastAsia"/>
                      <w:color w:val="000000"/>
                      <w:kern w:val="0"/>
                      <w:sz w:val="20"/>
                      <w:szCs w:val="20"/>
                      <w:lang w:val="en-US" w:eastAsia="zh-CN"/>
                    </w:rPr>
                    <w:t>523</w:t>
                  </w:r>
                </w:p>
              </w:tc>
              <w:tc>
                <w:tcPr>
                  <w:tcW w:w="1984" w:type="dxa"/>
                  <w:tcBorders>
                    <w:top w:val="nil"/>
                    <w:left w:val="nil"/>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p>
              </w:tc>
            </w:tr>
            <w:tr>
              <w:tblPrEx>
                <w:tblCellMar>
                  <w:top w:w="0" w:type="dxa"/>
                  <w:left w:w="108" w:type="dxa"/>
                  <w:bottom w:w="0" w:type="dxa"/>
                  <w:right w:w="108" w:type="dxa"/>
                </w:tblCellMar>
              </w:tblPrEx>
              <w:trPr>
                <w:trHeight w:val="600" w:hRule="atLeast"/>
              </w:trPr>
              <w:tc>
                <w:tcPr>
                  <w:tcW w:w="226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（2）公务用车购置费</w:t>
                  </w:r>
                </w:p>
              </w:tc>
              <w:tc>
                <w:tcPr>
                  <w:tcW w:w="2413" w:type="dxa"/>
                  <w:tcBorders>
                    <w:top w:val="nil"/>
                    <w:left w:val="nil"/>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0</w:t>
                  </w:r>
                </w:p>
              </w:tc>
              <w:tc>
                <w:tcPr>
                  <w:tcW w:w="1843" w:type="dxa"/>
                  <w:tcBorders>
                    <w:top w:val="nil"/>
                    <w:left w:val="nil"/>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0</w:t>
                  </w:r>
                </w:p>
              </w:tc>
              <w:tc>
                <w:tcPr>
                  <w:tcW w:w="1984" w:type="dxa"/>
                  <w:tcBorders>
                    <w:top w:val="nil"/>
                    <w:left w:val="nil"/>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w:t>
                  </w:r>
                </w:p>
              </w:tc>
            </w:tr>
          </w:tbl>
          <w:p>
            <w:pPr>
              <w:widowControl/>
              <w:jc w:val="left"/>
              <w:textAlignment w:val="center"/>
              <w:rPr>
                <w:rFonts w:ascii="宋体" w:hAnsi="宋体" w:cs="宋体"/>
                <w:b/>
                <w:color w:val="000000"/>
                <w:kern w:val="0"/>
                <w:sz w:val="20"/>
                <w:szCs w:val="20"/>
                <w:lang w:bidi="ar"/>
              </w:rPr>
            </w:pPr>
          </w:p>
          <w:p>
            <w:pPr>
              <w:widowControl/>
              <w:jc w:val="center"/>
              <w:textAlignment w:val="center"/>
              <w:rPr>
                <w:rFonts w:ascii="宋体" w:hAnsi="宋体" w:cs="宋体"/>
                <w:b/>
                <w:color w:val="000000"/>
                <w:sz w:val="20"/>
                <w:szCs w:val="20"/>
              </w:rPr>
            </w:pPr>
          </w:p>
        </w:tc>
      </w:tr>
    </w:tbl>
    <w:p>
      <w:pPr>
        <w:widowControl/>
        <w:autoSpaceDE w:val="0"/>
        <w:autoSpaceDN w:val="0"/>
        <w:spacing w:line="560" w:lineRule="exact"/>
        <w:ind w:firstLine="614" w:firstLineChars="196"/>
        <w:jc w:val="left"/>
        <w:outlineLvl w:val="0"/>
        <w:rPr>
          <w:rFonts w:hint="eastAsia" w:ascii="仿宋_GB2312" w:hAnsi="仿宋_GB2312" w:eastAsia="仿宋_GB2312" w:cs="仿宋_GB2312"/>
          <w:b/>
          <w:bCs w:val="0"/>
          <w:spacing w:val="-4"/>
          <w:sz w:val="32"/>
          <w:szCs w:val="32"/>
          <w:lang w:eastAsia="zh-Hans"/>
        </w:rPr>
      </w:pPr>
      <w:r>
        <w:rPr>
          <w:rFonts w:hint="eastAsia" w:ascii="仿宋_GB2312" w:hAnsi="仿宋_GB2312" w:eastAsia="仿宋_GB2312" w:cs="仿宋_GB2312"/>
          <w:b/>
          <w:bCs w:val="0"/>
          <w:spacing w:val="-4"/>
          <w:sz w:val="32"/>
          <w:szCs w:val="32"/>
          <w:lang w:eastAsia="zh-Hans"/>
        </w:rPr>
        <w:t>一、</w:t>
      </w:r>
      <w:r>
        <w:rPr>
          <w:rFonts w:hint="eastAsia" w:ascii="仿宋_GB2312" w:hAnsi="仿宋_GB2312" w:eastAsia="仿宋_GB2312" w:cs="仿宋_GB2312"/>
          <w:b/>
          <w:bCs w:val="0"/>
          <w:spacing w:val="-4"/>
          <w:sz w:val="32"/>
          <w:szCs w:val="32"/>
          <w:lang w:eastAsia="zh-CN"/>
        </w:rPr>
        <w:t>准东开发区</w:t>
      </w:r>
      <w:r>
        <w:rPr>
          <w:rFonts w:hint="eastAsia" w:ascii="仿宋_GB2312" w:hAnsi="仿宋_GB2312" w:eastAsia="仿宋_GB2312" w:cs="仿宋_GB2312"/>
          <w:b/>
          <w:bCs w:val="0"/>
          <w:spacing w:val="-4"/>
          <w:sz w:val="32"/>
          <w:szCs w:val="32"/>
          <w:lang w:eastAsia="zh-Hans"/>
        </w:rPr>
        <w:t>人员及车辆基本情况</w:t>
      </w:r>
    </w:p>
    <w:p>
      <w:pPr>
        <w:widowControl/>
        <w:autoSpaceDE w:val="0"/>
        <w:autoSpaceDN w:val="0"/>
        <w:spacing w:line="560" w:lineRule="exact"/>
        <w:ind w:firstLine="640" w:firstLineChars="200"/>
        <w:jc w:val="left"/>
        <w:outlineLvl w:val="0"/>
        <w:rPr>
          <w:rFonts w:hint="eastAsia" w:ascii="仿宋_GB2312" w:hAnsi="仿宋" w:eastAsia="仿宋_GB2312" w:cs="仿宋"/>
          <w:color w:val="000000"/>
          <w:kern w:val="0"/>
          <w:sz w:val="32"/>
          <w:szCs w:val="32"/>
          <w:lang w:eastAsia="zh-Hans" w:bidi="ar"/>
        </w:rPr>
      </w:pPr>
      <w:r>
        <w:rPr>
          <w:rFonts w:hint="eastAsia" w:ascii="仿宋_GB2312" w:hAnsi="仿宋" w:eastAsia="仿宋_GB2312" w:cs="仿宋"/>
          <w:color w:val="000000"/>
          <w:kern w:val="0"/>
          <w:sz w:val="32"/>
          <w:szCs w:val="32"/>
          <w:lang w:eastAsia="zh-Hans" w:bidi="ar"/>
        </w:rPr>
        <w:t>2022年</w:t>
      </w:r>
      <w:r>
        <w:rPr>
          <w:rFonts w:hint="eastAsia" w:ascii="仿宋_GB2312" w:hAnsi="仿宋" w:eastAsia="仿宋_GB2312" w:cs="仿宋"/>
          <w:color w:val="000000"/>
          <w:kern w:val="0"/>
          <w:sz w:val="32"/>
          <w:szCs w:val="32"/>
          <w:lang w:eastAsia="zh-CN" w:bidi="ar"/>
        </w:rPr>
        <w:t>准东开发区</w:t>
      </w:r>
      <w:r>
        <w:rPr>
          <w:rFonts w:hint="eastAsia" w:ascii="仿宋_GB2312" w:hAnsi="仿宋" w:eastAsia="仿宋_GB2312" w:cs="仿宋"/>
          <w:color w:val="000000"/>
          <w:kern w:val="0"/>
          <w:sz w:val="32"/>
          <w:szCs w:val="32"/>
          <w:lang w:eastAsia="zh-Hans" w:bidi="ar"/>
        </w:rPr>
        <w:t>共1个一级预算单位，财政供养人员共计</w:t>
      </w:r>
      <w:r>
        <w:rPr>
          <w:rFonts w:hint="eastAsia" w:ascii="仿宋_GB2312" w:hAnsi="仿宋" w:eastAsia="仿宋_GB2312" w:cs="仿宋"/>
          <w:color w:val="000000"/>
          <w:kern w:val="0"/>
          <w:sz w:val="32"/>
          <w:szCs w:val="32"/>
          <w:lang w:val="en-US" w:eastAsia="zh-CN" w:bidi="ar"/>
        </w:rPr>
        <w:t>1050</w:t>
      </w:r>
      <w:r>
        <w:rPr>
          <w:rFonts w:hint="eastAsia" w:ascii="仿宋_GB2312" w:hAnsi="仿宋" w:eastAsia="仿宋_GB2312" w:cs="仿宋"/>
          <w:color w:val="000000"/>
          <w:kern w:val="0"/>
          <w:sz w:val="32"/>
          <w:szCs w:val="32"/>
          <w:lang w:eastAsia="zh-Hans" w:bidi="ar"/>
        </w:rPr>
        <w:t>人，人员构成：行政人员</w:t>
      </w:r>
      <w:r>
        <w:rPr>
          <w:rFonts w:hint="eastAsia" w:ascii="仿宋_GB2312" w:hAnsi="仿宋" w:eastAsia="仿宋_GB2312" w:cs="仿宋"/>
          <w:color w:val="000000"/>
          <w:kern w:val="0"/>
          <w:sz w:val="32"/>
          <w:szCs w:val="32"/>
          <w:lang w:val="en-US" w:eastAsia="zh-CN" w:bidi="ar"/>
        </w:rPr>
        <w:t>61</w:t>
      </w:r>
      <w:r>
        <w:rPr>
          <w:rFonts w:hint="eastAsia" w:ascii="仿宋_GB2312" w:hAnsi="仿宋" w:eastAsia="仿宋_GB2312" w:cs="仿宋"/>
          <w:color w:val="000000"/>
          <w:kern w:val="0"/>
          <w:sz w:val="32"/>
          <w:szCs w:val="32"/>
          <w:lang w:eastAsia="zh-Hans" w:bidi="ar"/>
        </w:rPr>
        <w:t>人，事业人员</w:t>
      </w:r>
      <w:r>
        <w:rPr>
          <w:rFonts w:hint="eastAsia" w:ascii="仿宋_GB2312" w:hAnsi="仿宋" w:eastAsia="仿宋_GB2312" w:cs="仿宋"/>
          <w:color w:val="000000"/>
          <w:kern w:val="0"/>
          <w:sz w:val="32"/>
          <w:szCs w:val="32"/>
          <w:lang w:val="en-US" w:eastAsia="zh-CN" w:bidi="ar"/>
        </w:rPr>
        <w:t>0</w:t>
      </w:r>
      <w:r>
        <w:rPr>
          <w:rFonts w:hint="eastAsia" w:ascii="仿宋_GB2312" w:hAnsi="仿宋" w:eastAsia="仿宋_GB2312" w:cs="仿宋"/>
          <w:color w:val="000000"/>
          <w:kern w:val="0"/>
          <w:sz w:val="32"/>
          <w:szCs w:val="32"/>
          <w:lang w:eastAsia="zh-Hans" w:bidi="ar"/>
        </w:rPr>
        <w:t>人，离休人员</w:t>
      </w:r>
      <w:r>
        <w:rPr>
          <w:rFonts w:hint="eastAsia" w:ascii="仿宋_GB2312" w:hAnsi="仿宋" w:eastAsia="仿宋_GB2312" w:cs="仿宋"/>
          <w:color w:val="000000"/>
          <w:kern w:val="0"/>
          <w:sz w:val="32"/>
          <w:szCs w:val="32"/>
          <w:lang w:val="en-US" w:eastAsia="zh-CN" w:bidi="ar"/>
        </w:rPr>
        <w:t>0</w:t>
      </w:r>
      <w:r>
        <w:rPr>
          <w:rFonts w:hint="eastAsia" w:ascii="仿宋_GB2312" w:hAnsi="仿宋" w:eastAsia="仿宋_GB2312" w:cs="仿宋"/>
          <w:color w:val="000000"/>
          <w:kern w:val="0"/>
          <w:sz w:val="32"/>
          <w:szCs w:val="32"/>
          <w:lang w:eastAsia="zh-Hans" w:bidi="ar"/>
        </w:rPr>
        <w:t>人；公务用车总数</w:t>
      </w:r>
      <w:r>
        <w:rPr>
          <w:rFonts w:hint="eastAsia" w:ascii="仿宋_GB2312" w:hAnsi="仿宋" w:eastAsia="仿宋_GB2312" w:cs="仿宋"/>
          <w:color w:val="000000"/>
          <w:kern w:val="0"/>
          <w:sz w:val="32"/>
          <w:szCs w:val="32"/>
          <w:lang w:val="en-US" w:eastAsia="zh-CN" w:bidi="ar"/>
        </w:rPr>
        <w:t>51</w:t>
      </w:r>
      <w:r>
        <w:rPr>
          <w:rFonts w:hint="eastAsia" w:ascii="仿宋_GB2312" w:hAnsi="仿宋" w:eastAsia="仿宋_GB2312" w:cs="仿宋"/>
          <w:color w:val="000000"/>
          <w:kern w:val="0"/>
          <w:sz w:val="32"/>
          <w:szCs w:val="32"/>
          <w:lang w:eastAsia="zh-Hans" w:bidi="ar"/>
        </w:rPr>
        <w:t>辆。</w:t>
      </w:r>
    </w:p>
    <w:p>
      <w:pPr>
        <w:widowControl/>
        <w:autoSpaceDE w:val="0"/>
        <w:autoSpaceDN w:val="0"/>
        <w:spacing w:line="560" w:lineRule="exact"/>
        <w:ind w:firstLine="614" w:firstLineChars="196"/>
        <w:jc w:val="left"/>
        <w:outlineLvl w:val="0"/>
        <w:rPr>
          <w:rFonts w:hint="eastAsia" w:ascii="仿宋_GB2312" w:hAnsi="仿宋_GB2312" w:eastAsia="仿宋_GB2312" w:cs="仿宋_GB2312"/>
          <w:b/>
          <w:bCs w:val="0"/>
          <w:spacing w:val="-4"/>
          <w:sz w:val="32"/>
          <w:szCs w:val="32"/>
          <w:lang w:eastAsia="zh-Hans"/>
        </w:rPr>
      </w:pPr>
      <w:r>
        <w:rPr>
          <w:rFonts w:hint="eastAsia" w:ascii="仿宋_GB2312" w:hAnsi="仿宋_GB2312" w:eastAsia="仿宋_GB2312" w:cs="仿宋_GB2312"/>
          <w:b/>
          <w:bCs w:val="0"/>
          <w:spacing w:val="-4"/>
          <w:sz w:val="32"/>
          <w:szCs w:val="32"/>
          <w:lang w:eastAsia="zh-Hans"/>
        </w:rPr>
        <w:t>二、“三公”经费口径说明</w:t>
      </w:r>
    </w:p>
    <w:p>
      <w:pPr>
        <w:widowControl/>
        <w:autoSpaceDE w:val="0"/>
        <w:autoSpaceDN w:val="0"/>
        <w:spacing w:line="560" w:lineRule="exact"/>
        <w:ind w:firstLine="640" w:firstLineChars="200"/>
        <w:jc w:val="left"/>
        <w:outlineLvl w:val="0"/>
        <w:rPr>
          <w:rFonts w:ascii="仿宋_GB2312" w:hAnsi="仿宋" w:eastAsia="仿宋_GB2312" w:cs="仿宋"/>
          <w:color w:val="000000"/>
          <w:kern w:val="0"/>
          <w:sz w:val="32"/>
          <w:szCs w:val="32"/>
          <w:lang w:eastAsia="zh-Hans" w:bidi="ar"/>
        </w:rPr>
      </w:pPr>
      <w:r>
        <w:rPr>
          <w:rFonts w:hint="eastAsia" w:ascii="仿宋_GB2312" w:hAnsi="仿宋" w:eastAsia="仿宋_GB2312" w:cs="仿宋"/>
          <w:color w:val="000000"/>
          <w:kern w:val="0"/>
          <w:sz w:val="32"/>
          <w:szCs w:val="32"/>
          <w:lang w:eastAsia="zh-Hans" w:bidi="ar"/>
        </w:rPr>
        <w:t>1、因公出国（境）费用：反映单位公务出国（境）的国际旅费、国外城市间交通费、住宿费、伙食费、培训费、公杂费等支出，包括参加朝觐、学术会议、科技研讨会、国际重大体育赛事申办及参赛费用、文化交流和政府间、单位间交往等。</w:t>
      </w:r>
    </w:p>
    <w:p>
      <w:pPr>
        <w:widowControl/>
        <w:autoSpaceDE w:val="0"/>
        <w:autoSpaceDN w:val="0"/>
        <w:spacing w:line="560" w:lineRule="exact"/>
        <w:ind w:firstLine="640" w:firstLineChars="200"/>
        <w:jc w:val="left"/>
        <w:outlineLvl w:val="0"/>
        <w:rPr>
          <w:rFonts w:ascii="仿宋_GB2312" w:hAnsi="仿宋" w:eastAsia="仿宋_GB2312" w:cs="仿宋"/>
          <w:color w:val="000000"/>
          <w:kern w:val="0"/>
          <w:sz w:val="32"/>
          <w:szCs w:val="32"/>
          <w:lang w:eastAsia="zh-Hans" w:bidi="ar"/>
        </w:rPr>
      </w:pPr>
      <w:r>
        <w:rPr>
          <w:rFonts w:hint="eastAsia" w:ascii="仿宋_GB2312" w:hAnsi="仿宋" w:eastAsia="仿宋_GB2312" w:cs="仿宋"/>
          <w:color w:val="000000"/>
          <w:kern w:val="0"/>
          <w:sz w:val="32"/>
          <w:szCs w:val="32"/>
          <w:lang w:eastAsia="zh-Hans" w:bidi="ar"/>
        </w:rPr>
        <w:t>2、公务接待费：反映州本级行政事业单位按规定开支的各类公务接待费用，包括国际访问、大型活动及外省市交流接待等。</w:t>
      </w:r>
    </w:p>
    <w:p>
      <w:pPr>
        <w:widowControl/>
        <w:autoSpaceDE w:val="0"/>
        <w:autoSpaceDN w:val="0"/>
        <w:spacing w:line="560" w:lineRule="exact"/>
        <w:ind w:firstLine="640" w:firstLineChars="200"/>
        <w:jc w:val="left"/>
        <w:outlineLvl w:val="0"/>
        <w:rPr>
          <w:rFonts w:ascii="仿宋_GB2312" w:hAnsi="仿宋" w:eastAsia="仿宋_GB2312" w:cs="仿宋"/>
          <w:color w:val="000000"/>
          <w:kern w:val="0"/>
          <w:sz w:val="32"/>
          <w:szCs w:val="32"/>
          <w:lang w:eastAsia="zh-Hans" w:bidi="ar"/>
        </w:rPr>
      </w:pPr>
      <w:r>
        <w:rPr>
          <w:rFonts w:hint="eastAsia" w:ascii="仿宋_GB2312" w:hAnsi="仿宋" w:eastAsia="仿宋_GB2312" w:cs="仿宋"/>
          <w:color w:val="000000"/>
          <w:kern w:val="0"/>
          <w:sz w:val="32"/>
          <w:szCs w:val="32"/>
          <w:lang w:eastAsia="zh-Hans" w:bidi="ar"/>
        </w:rPr>
        <w:t>3、公务用车购置：反映州本级行政事业单位公务用车车辆购置支出，包括：黄标车淘汰更新、执法执勤用车、特种专业技术用车和一般公务用车车辆报废。</w:t>
      </w:r>
    </w:p>
    <w:p>
      <w:pPr>
        <w:widowControl/>
        <w:autoSpaceDE w:val="0"/>
        <w:autoSpaceDN w:val="0"/>
        <w:spacing w:line="560" w:lineRule="exact"/>
        <w:ind w:firstLine="640" w:firstLineChars="200"/>
        <w:jc w:val="left"/>
        <w:outlineLvl w:val="0"/>
        <w:rPr>
          <w:rFonts w:ascii="仿宋_GB2312" w:hAnsi="仿宋" w:eastAsia="仿宋_GB2312" w:cs="仿宋"/>
          <w:color w:val="000000"/>
          <w:kern w:val="0"/>
          <w:sz w:val="32"/>
          <w:szCs w:val="32"/>
          <w:lang w:eastAsia="zh-Hans" w:bidi="ar"/>
        </w:rPr>
      </w:pPr>
      <w:r>
        <w:rPr>
          <w:rFonts w:hint="eastAsia" w:ascii="仿宋_GB2312" w:hAnsi="仿宋" w:eastAsia="仿宋_GB2312" w:cs="仿宋"/>
          <w:color w:val="000000"/>
          <w:kern w:val="0"/>
          <w:sz w:val="32"/>
          <w:szCs w:val="32"/>
          <w:lang w:eastAsia="zh-Hans" w:bidi="ar"/>
        </w:rPr>
        <w:t>4、公务用车运行维护费：反映州本级行政事业单位公务用车日常使用过程中发生的公务用车租用费、燃料费、维修费、保险费、安全奖励费用等支出。</w:t>
      </w:r>
    </w:p>
    <w:p>
      <w:pPr>
        <w:widowControl/>
        <w:autoSpaceDE w:val="0"/>
        <w:autoSpaceDN w:val="0"/>
        <w:spacing w:line="560" w:lineRule="exact"/>
        <w:ind w:firstLine="614" w:firstLineChars="196"/>
        <w:jc w:val="left"/>
        <w:outlineLvl w:val="0"/>
        <w:rPr>
          <w:rFonts w:hint="eastAsia" w:ascii="仿宋_GB2312" w:hAnsi="仿宋_GB2312" w:eastAsia="仿宋_GB2312" w:cs="仿宋_GB2312"/>
          <w:b/>
          <w:bCs w:val="0"/>
          <w:spacing w:val="-4"/>
          <w:sz w:val="32"/>
          <w:szCs w:val="32"/>
          <w:lang w:eastAsia="zh-Hans"/>
        </w:rPr>
      </w:pPr>
      <w:r>
        <w:rPr>
          <w:rFonts w:hint="eastAsia" w:ascii="仿宋_GB2312" w:hAnsi="仿宋_GB2312" w:eastAsia="仿宋_GB2312" w:cs="仿宋_GB2312"/>
          <w:b/>
          <w:bCs w:val="0"/>
          <w:spacing w:val="-4"/>
          <w:sz w:val="32"/>
          <w:szCs w:val="32"/>
          <w:lang w:eastAsia="zh-Hans"/>
        </w:rPr>
        <w:t>三、“三公”经费预算总额情况</w:t>
      </w:r>
    </w:p>
    <w:p>
      <w:pPr>
        <w:widowControl/>
        <w:autoSpaceDE w:val="0"/>
        <w:autoSpaceDN w:val="0"/>
        <w:spacing w:line="560" w:lineRule="exact"/>
        <w:ind w:firstLine="643" w:firstLineChars="200"/>
        <w:jc w:val="left"/>
        <w:outlineLvl w:val="0"/>
        <w:rPr>
          <w:rFonts w:ascii="仿宋" w:hAnsi="仿宋" w:eastAsia="仿宋" w:cs="仿宋"/>
          <w:b/>
          <w:bCs/>
          <w:color w:val="000000"/>
          <w:kern w:val="0"/>
          <w:sz w:val="32"/>
          <w:szCs w:val="32"/>
          <w:lang w:eastAsia="zh-Hans" w:bidi="ar"/>
        </w:rPr>
      </w:pPr>
      <w:r>
        <w:rPr>
          <w:rFonts w:ascii="仿宋" w:hAnsi="仿宋" w:eastAsia="仿宋" w:cs="仿宋"/>
          <w:b/>
          <w:bCs/>
          <w:color w:val="000000"/>
          <w:kern w:val="0"/>
          <w:sz w:val="32"/>
          <w:szCs w:val="32"/>
          <w:lang w:eastAsia="zh-Hans" w:bidi="ar"/>
        </w:rPr>
        <w:t>1</w:t>
      </w:r>
      <w:r>
        <w:rPr>
          <w:rFonts w:hint="eastAsia" w:ascii="仿宋" w:hAnsi="仿宋" w:eastAsia="仿宋" w:cs="仿宋"/>
          <w:b/>
          <w:bCs/>
          <w:color w:val="000000"/>
          <w:kern w:val="0"/>
          <w:sz w:val="32"/>
          <w:szCs w:val="32"/>
          <w:lang w:eastAsia="zh-Hans" w:bidi="ar"/>
        </w:rPr>
        <w:t>、基本情况</w:t>
      </w:r>
    </w:p>
    <w:p>
      <w:pPr>
        <w:widowControl/>
        <w:autoSpaceDE w:val="0"/>
        <w:autoSpaceDN w:val="0"/>
        <w:spacing w:line="560" w:lineRule="exact"/>
        <w:ind w:firstLine="640" w:firstLineChars="200"/>
        <w:jc w:val="left"/>
        <w:outlineLvl w:val="0"/>
        <w:rPr>
          <w:rFonts w:ascii="仿宋_GB2312" w:hAnsi="仿宋" w:eastAsia="仿宋_GB2312" w:cs="仿宋"/>
          <w:color w:val="000000"/>
          <w:kern w:val="0"/>
          <w:sz w:val="32"/>
          <w:szCs w:val="32"/>
          <w:lang w:eastAsia="zh-Hans" w:bidi="ar"/>
        </w:rPr>
      </w:pPr>
      <w:r>
        <w:rPr>
          <w:rFonts w:hint="eastAsia" w:ascii="仿宋_GB2312" w:hAnsi="仿宋" w:eastAsia="仿宋_GB2312" w:cs="仿宋"/>
          <w:color w:val="000000"/>
          <w:kern w:val="0"/>
          <w:sz w:val="32"/>
          <w:szCs w:val="32"/>
          <w:lang w:eastAsia="zh-Hans" w:bidi="ar"/>
        </w:rPr>
        <w:t>2022年昌吉州本级“三公”经费预算支出</w:t>
      </w:r>
      <w:r>
        <w:rPr>
          <w:rFonts w:hint="eastAsia" w:ascii="仿宋_GB2312" w:hAnsi="仿宋" w:eastAsia="仿宋_GB2312" w:cs="仿宋"/>
          <w:color w:val="000000"/>
          <w:kern w:val="0"/>
          <w:sz w:val="32"/>
          <w:szCs w:val="32"/>
          <w:lang w:val="en-US" w:eastAsia="zh-CN" w:bidi="ar"/>
        </w:rPr>
        <w:t>661</w:t>
      </w:r>
      <w:r>
        <w:rPr>
          <w:rFonts w:hint="eastAsia" w:ascii="仿宋_GB2312" w:hAnsi="仿宋" w:eastAsia="仿宋_GB2312" w:cs="仿宋"/>
          <w:color w:val="000000"/>
          <w:kern w:val="0"/>
          <w:sz w:val="32"/>
          <w:szCs w:val="32"/>
          <w:lang w:eastAsia="zh-Hans" w:bidi="ar"/>
        </w:rPr>
        <w:t>万元，</w:t>
      </w:r>
      <w:r>
        <w:rPr>
          <w:rFonts w:hint="eastAsia" w:ascii="仿宋_GB2312" w:hAnsi="仿宋" w:eastAsia="仿宋_GB2312" w:cs="仿宋"/>
          <w:color w:val="000000"/>
          <w:kern w:val="0"/>
          <w:sz w:val="32"/>
          <w:szCs w:val="32"/>
          <w:lang w:eastAsia="zh-CN" w:bidi="ar"/>
        </w:rPr>
        <w:t>与上年保持一致</w:t>
      </w:r>
      <w:r>
        <w:rPr>
          <w:rFonts w:hint="eastAsia" w:ascii="仿宋_GB2312" w:hAnsi="仿宋" w:eastAsia="仿宋_GB2312" w:cs="仿宋"/>
          <w:color w:val="000000"/>
          <w:kern w:val="0"/>
          <w:sz w:val="32"/>
          <w:szCs w:val="32"/>
          <w:lang w:eastAsia="zh-Hans" w:bidi="ar"/>
        </w:rPr>
        <w:t>，其中：公务接待费:</w:t>
      </w:r>
      <w:r>
        <w:rPr>
          <w:rFonts w:hint="eastAsia" w:ascii="仿宋_GB2312" w:hAnsi="仿宋" w:eastAsia="仿宋_GB2312" w:cs="仿宋"/>
          <w:color w:val="000000"/>
          <w:kern w:val="0"/>
          <w:sz w:val="32"/>
          <w:szCs w:val="32"/>
          <w:lang w:val="en-US" w:eastAsia="zh-CN" w:bidi="ar"/>
        </w:rPr>
        <w:t>138</w:t>
      </w:r>
      <w:r>
        <w:rPr>
          <w:rFonts w:hint="eastAsia" w:ascii="仿宋_GB2312" w:hAnsi="仿宋" w:eastAsia="仿宋_GB2312" w:cs="仿宋"/>
          <w:color w:val="000000"/>
          <w:kern w:val="0"/>
          <w:sz w:val="32"/>
          <w:szCs w:val="32"/>
          <w:lang w:eastAsia="zh-Hans" w:bidi="ar"/>
        </w:rPr>
        <w:t>万元，因公出国（境）费用0万元，公车费用</w:t>
      </w:r>
      <w:r>
        <w:rPr>
          <w:rFonts w:hint="eastAsia" w:ascii="仿宋_GB2312" w:hAnsi="仿宋" w:eastAsia="仿宋_GB2312" w:cs="仿宋"/>
          <w:color w:val="000000"/>
          <w:kern w:val="0"/>
          <w:sz w:val="32"/>
          <w:szCs w:val="32"/>
          <w:lang w:val="en-US" w:eastAsia="zh-CN" w:bidi="ar"/>
        </w:rPr>
        <w:t>523</w:t>
      </w:r>
      <w:r>
        <w:rPr>
          <w:rFonts w:hint="eastAsia" w:ascii="仿宋_GB2312" w:hAnsi="仿宋" w:eastAsia="仿宋_GB2312" w:cs="仿宋"/>
          <w:color w:val="000000"/>
          <w:kern w:val="0"/>
          <w:sz w:val="32"/>
          <w:szCs w:val="32"/>
          <w:lang w:eastAsia="zh-Hans" w:bidi="ar"/>
        </w:rPr>
        <w:t>万元（包括车辆购置费0万元，车辆运行及维护费</w:t>
      </w:r>
      <w:r>
        <w:rPr>
          <w:rFonts w:hint="eastAsia" w:ascii="仿宋_GB2312" w:hAnsi="仿宋" w:eastAsia="仿宋_GB2312" w:cs="仿宋"/>
          <w:color w:val="000000"/>
          <w:kern w:val="0"/>
          <w:sz w:val="32"/>
          <w:szCs w:val="32"/>
          <w:lang w:val="en-US" w:eastAsia="zh-CN" w:bidi="ar"/>
        </w:rPr>
        <w:t>523</w:t>
      </w:r>
      <w:r>
        <w:rPr>
          <w:rFonts w:hint="eastAsia" w:ascii="仿宋_GB2312" w:hAnsi="仿宋" w:eastAsia="仿宋_GB2312" w:cs="仿宋"/>
          <w:color w:val="000000"/>
          <w:kern w:val="0"/>
          <w:sz w:val="32"/>
          <w:szCs w:val="32"/>
          <w:lang w:eastAsia="zh-Hans" w:bidi="ar"/>
        </w:rPr>
        <w:t>万元）。</w:t>
      </w:r>
    </w:p>
    <w:p>
      <w:pPr>
        <w:widowControl/>
        <w:autoSpaceDE w:val="0"/>
        <w:autoSpaceDN w:val="0"/>
        <w:spacing w:line="360" w:lineRule="auto"/>
        <w:ind w:firstLine="640" w:firstLineChars="200"/>
        <w:jc w:val="left"/>
        <w:outlineLvl w:val="0"/>
        <w:rPr>
          <w:rFonts w:ascii="仿宋" w:hAnsi="仿宋" w:eastAsia="仿宋" w:cs="仿宋"/>
          <w:color w:val="000000"/>
          <w:kern w:val="0"/>
          <w:sz w:val="32"/>
          <w:szCs w:val="32"/>
          <w:lang w:bidi="ar"/>
        </w:rPr>
      </w:pPr>
    </w:p>
    <w:p>
      <w:pPr>
        <w:widowControl/>
        <w:jc w:val="center"/>
        <w:outlineLvl w:val="1"/>
        <w:rPr>
          <w:rFonts w:ascii="黑体" w:hAnsi="黑体" w:eastAsia="黑体"/>
          <w:kern w:val="0"/>
          <w:sz w:val="32"/>
          <w:szCs w:val="32"/>
          <w:lang w:eastAsia="zh-Hans"/>
        </w:rPr>
      </w:pPr>
      <w:r>
        <w:rPr>
          <w:rFonts w:ascii="黑体" w:hAnsi="黑体" w:eastAsia="黑体"/>
          <w:kern w:val="0"/>
          <w:sz w:val="32"/>
          <w:szCs w:val="32"/>
          <w:lang w:eastAsia="zh-Hans"/>
        </w:rPr>
        <w:t>第</w:t>
      </w:r>
      <w:r>
        <w:rPr>
          <w:rFonts w:hint="eastAsia" w:ascii="黑体" w:hAnsi="黑体" w:eastAsia="黑体"/>
          <w:kern w:val="0"/>
          <w:sz w:val="32"/>
          <w:szCs w:val="32"/>
          <w:lang w:eastAsia="zh-Hans"/>
        </w:rPr>
        <w:t>四</w:t>
      </w:r>
      <w:r>
        <w:rPr>
          <w:rFonts w:ascii="黑体" w:hAnsi="黑体" w:eastAsia="黑体"/>
          <w:kern w:val="0"/>
          <w:sz w:val="32"/>
          <w:szCs w:val="32"/>
          <w:lang w:eastAsia="zh-Hans"/>
        </w:rPr>
        <w:t xml:space="preserve">部分  </w:t>
      </w:r>
      <w:r>
        <w:rPr>
          <w:rFonts w:hint="eastAsia" w:ascii="黑体" w:hAnsi="黑体" w:eastAsia="黑体"/>
          <w:kern w:val="0"/>
          <w:sz w:val="32"/>
          <w:szCs w:val="32"/>
          <w:lang w:eastAsia="zh-Hans"/>
        </w:rPr>
        <w:t>转移支付安排情况说明</w:t>
      </w:r>
    </w:p>
    <w:p>
      <w:pPr>
        <w:rPr>
          <w:lang w:eastAsia="zh-Hans"/>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一、</w:t>
      </w:r>
      <w:r>
        <w:rPr>
          <w:rFonts w:hint="eastAsia" w:ascii="Times New Roman" w:hAnsi="Times New Roman" w:eastAsia="黑体" w:cs="Times New Roman"/>
          <w:sz w:val="32"/>
          <w:szCs w:val="32"/>
          <w:lang w:eastAsia="zh-Hans"/>
        </w:rPr>
        <w:t>一般公共预算转移支付情况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2022</w:t>
      </w:r>
      <w:r>
        <w:rPr>
          <w:rFonts w:hint="eastAsia" w:ascii="仿宋_GB2312" w:hAnsi="仿宋_GB2312" w:eastAsia="仿宋_GB2312" w:cs="仿宋_GB2312"/>
          <w:kern w:val="0"/>
          <w:sz w:val="32"/>
          <w:szCs w:val="32"/>
        </w:rPr>
        <w:t>年准</w:t>
      </w:r>
      <w:r>
        <w:rPr>
          <w:rFonts w:hint="eastAsia" w:ascii="仿宋_GB2312" w:hAnsi="仿宋_GB2312" w:eastAsia="仿宋_GB2312" w:cs="仿宋_GB2312"/>
          <w:kern w:val="0"/>
          <w:sz w:val="32"/>
          <w:szCs w:val="32"/>
          <w:lang w:val="en-US" w:eastAsia="zh-CN"/>
        </w:rPr>
        <w:t>东开发区预</w:t>
      </w:r>
      <w:r>
        <w:rPr>
          <w:rFonts w:hint="eastAsia" w:ascii="仿宋_GB2312" w:hAnsi="仿宋_GB2312" w:eastAsia="仿宋_GB2312" w:cs="仿宋_GB2312"/>
          <w:kern w:val="0"/>
          <w:sz w:val="32"/>
          <w:szCs w:val="32"/>
        </w:rPr>
        <w:t>算安排上级转移支付</w:t>
      </w:r>
      <w:r>
        <w:rPr>
          <w:rFonts w:hint="eastAsia" w:ascii="仿宋_GB2312" w:hAnsi="仿宋_GB2312" w:eastAsia="仿宋_GB2312" w:cs="仿宋_GB2312"/>
          <w:kern w:val="0"/>
          <w:sz w:val="32"/>
          <w:szCs w:val="32"/>
          <w:lang w:val="en-US" w:eastAsia="zh-CN"/>
        </w:rPr>
        <w:t>5050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。其中：</w:t>
      </w:r>
      <w:r>
        <w:rPr>
          <w:rFonts w:hint="eastAsia" w:ascii="仿宋_GB2312" w:hAnsi="仿宋_GB2312" w:eastAsia="仿宋_GB2312" w:cs="仿宋_GB2312"/>
          <w:kern w:val="0"/>
          <w:sz w:val="32"/>
          <w:szCs w:val="32"/>
        </w:rPr>
        <w:t>一般转移支付收入</w:t>
      </w:r>
      <w:r>
        <w:rPr>
          <w:rFonts w:hint="eastAsia" w:ascii="仿宋_GB2312" w:hAnsi="仿宋_GB2312" w:eastAsia="仿宋_GB2312" w:cs="仿宋_GB2312"/>
          <w:kern w:val="0"/>
          <w:sz w:val="32"/>
          <w:szCs w:val="32"/>
          <w:lang w:val="en-US" w:eastAsia="zh-CN"/>
        </w:rPr>
        <w:t>4545万元；专项转移支付505万元。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kern w:val="0"/>
          <w:sz w:val="32"/>
          <w:szCs w:val="32"/>
        </w:rPr>
        <w:t>一般转移支付收入</w:t>
      </w:r>
      <w:r>
        <w:rPr>
          <w:rFonts w:hint="eastAsia" w:ascii="仿宋_GB2312" w:hAnsi="仿宋_GB2312" w:eastAsia="仿宋_GB2312" w:cs="仿宋_GB2312"/>
          <w:kern w:val="0"/>
          <w:sz w:val="32"/>
          <w:szCs w:val="32"/>
          <w:lang w:val="en-US" w:eastAsia="zh-CN"/>
        </w:rPr>
        <w:t>4545万元</w:t>
      </w:r>
      <w:r>
        <w:rPr>
          <w:rFonts w:hint="eastAsia" w:ascii="仿宋_GB2312" w:hAnsi="仿宋_GB2312" w:eastAsia="仿宋_GB2312" w:cs="仿宋_GB2312"/>
          <w:kern w:val="0"/>
          <w:sz w:val="32"/>
          <w:szCs w:val="32"/>
        </w:rPr>
        <w:t>中：体制补助收入19万元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固定数额补助收入26万元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其他一般性转移支付收入4500万元。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kern w:val="0"/>
          <w:sz w:val="32"/>
          <w:szCs w:val="32"/>
        </w:rPr>
      </w:pPr>
      <w:r>
        <w:rPr>
          <w:rFonts w:hint="eastAsia" w:ascii="仿宋_GB2312" w:hAnsi="仿宋_GB2312" w:eastAsia="仿宋_GB2312" w:cs="仿宋_GB2312"/>
          <w:kern w:val="0"/>
          <w:sz w:val="32"/>
          <w:szCs w:val="32"/>
          <w:lang w:val="en-US" w:eastAsia="zh-CN"/>
        </w:rPr>
        <w:t>专项转移支付505万元中：社会保障和就业260万元；节能环保245万元。</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640" w:firstLineChars="200"/>
        <w:jc w:val="center"/>
        <w:textAlignment w:val="auto"/>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Hans"/>
        </w:rPr>
        <w:t xml:space="preserve"> 地方政府债务</w:t>
      </w:r>
      <w:r>
        <w:rPr>
          <w:rFonts w:hint="eastAsia" w:ascii="Times New Roman" w:hAnsi="Times New Roman" w:eastAsia="黑体" w:cs="Times New Roman"/>
          <w:sz w:val="32"/>
          <w:szCs w:val="32"/>
          <w:lang w:val="en-US" w:eastAsia="zh-CN"/>
        </w:rPr>
        <w:t>公开情况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default" w:ascii="Times New Roman" w:hAnsi="Times New Roman" w:eastAsia="黑体" w:cs="Times New Roman"/>
          <w:sz w:val="32"/>
          <w:szCs w:val="32"/>
          <w:lang w:val="en-US" w:eastAsia="zh-CN"/>
        </w:rPr>
      </w:pPr>
    </w:p>
    <w:tbl>
      <w:tblPr>
        <w:tblStyle w:val="5"/>
        <w:tblW w:w="9600" w:type="dxa"/>
        <w:tblInd w:w="-536" w:type="dxa"/>
        <w:tblLayout w:type="fixed"/>
        <w:tblCellMar>
          <w:top w:w="15" w:type="dxa"/>
          <w:left w:w="15" w:type="dxa"/>
          <w:bottom w:w="15" w:type="dxa"/>
          <w:right w:w="15" w:type="dxa"/>
        </w:tblCellMar>
      </w:tblPr>
      <w:tblGrid>
        <w:gridCol w:w="2351"/>
        <w:gridCol w:w="2070"/>
        <w:gridCol w:w="2572"/>
        <w:gridCol w:w="2607"/>
      </w:tblGrid>
      <w:tr>
        <w:tblPrEx>
          <w:tblCellMar>
            <w:top w:w="15" w:type="dxa"/>
            <w:left w:w="15" w:type="dxa"/>
            <w:bottom w:w="15" w:type="dxa"/>
            <w:right w:w="15" w:type="dxa"/>
          </w:tblCellMar>
        </w:tblPrEx>
        <w:trPr>
          <w:trHeight w:val="722" w:hRule="atLeast"/>
        </w:trPr>
        <w:tc>
          <w:tcPr>
            <w:tcW w:w="9600" w:type="dxa"/>
            <w:gridSpan w:val="4"/>
            <w:vAlign w:val="center"/>
          </w:tcPr>
          <w:p>
            <w:pPr>
              <w:widowControl/>
              <w:jc w:val="left"/>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表</w:t>
            </w:r>
            <w:r>
              <w:rPr>
                <w:rFonts w:hint="eastAsia" w:ascii="宋体" w:hAnsi="宋体" w:cs="宋体"/>
                <w:color w:val="000000"/>
                <w:kern w:val="0"/>
                <w:sz w:val="20"/>
                <w:szCs w:val="20"/>
                <w:lang w:val="en-US" w:eastAsia="zh-CN" w:bidi="ar"/>
              </w:rPr>
              <w:t>11</w:t>
            </w:r>
          </w:p>
          <w:p>
            <w:pPr>
              <w:widowControl/>
              <w:jc w:val="center"/>
              <w:textAlignment w:val="center"/>
              <w:rPr>
                <w:rFonts w:ascii="宋体" w:hAnsi="宋体" w:cs="宋体"/>
                <w:b/>
                <w:color w:val="000000"/>
                <w:kern w:val="0"/>
                <w:sz w:val="20"/>
                <w:szCs w:val="20"/>
                <w:lang w:bidi="ar"/>
              </w:rPr>
            </w:pPr>
            <w:r>
              <w:rPr>
                <w:rFonts w:ascii="宋体" w:hAnsi="宋体" w:cs="宋体"/>
                <w:b/>
                <w:color w:val="000000"/>
                <w:kern w:val="0"/>
                <w:sz w:val="20"/>
                <w:szCs w:val="20"/>
                <w:lang w:bidi="ar"/>
              </w:rPr>
              <w:t>2021</w:t>
            </w:r>
            <w:r>
              <w:rPr>
                <w:rFonts w:hint="eastAsia" w:ascii="宋体" w:hAnsi="宋体" w:cs="宋体"/>
                <w:b/>
                <w:color w:val="000000"/>
                <w:kern w:val="0"/>
                <w:sz w:val="20"/>
                <w:szCs w:val="20"/>
                <w:lang w:bidi="ar"/>
              </w:rPr>
              <w:t>年</w:t>
            </w:r>
            <w:r>
              <w:rPr>
                <w:rFonts w:hint="eastAsia" w:ascii="宋体" w:hAnsi="宋体" w:cs="宋体"/>
                <w:b/>
                <w:color w:val="000000"/>
                <w:kern w:val="0"/>
                <w:sz w:val="20"/>
                <w:szCs w:val="20"/>
                <w:lang w:val="en-US" w:eastAsia="zh-CN" w:bidi="ar"/>
              </w:rPr>
              <w:t>准东开发区</w:t>
            </w:r>
            <w:r>
              <w:rPr>
                <w:rFonts w:hint="eastAsia" w:ascii="宋体" w:hAnsi="宋体" w:cs="宋体"/>
                <w:b/>
                <w:color w:val="000000"/>
                <w:kern w:val="0"/>
                <w:sz w:val="20"/>
                <w:szCs w:val="20"/>
                <w:lang w:bidi="ar"/>
              </w:rPr>
              <w:t>一般债务限额、余额情况表</w:t>
            </w:r>
          </w:p>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单位：亿元</w:t>
            </w:r>
          </w:p>
        </w:tc>
      </w:tr>
      <w:tr>
        <w:tblPrEx>
          <w:tblCellMar>
            <w:top w:w="15" w:type="dxa"/>
            <w:left w:w="15" w:type="dxa"/>
            <w:bottom w:w="15" w:type="dxa"/>
            <w:right w:w="15" w:type="dxa"/>
          </w:tblCellMar>
        </w:tblPrEx>
        <w:trPr>
          <w:trHeight w:val="572" w:hRule="atLeast"/>
        </w:trPr>
        <w:tc>
          <w:tcPr>
            <w:tcW w:w="23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行政区划名称</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一般债务限额总额</w:t>
            </w:r>
          </w:p>
        </w:tc>
        <w:tc>
          <w:tcPr>
            <w:tcW w:w="25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其中：新增一般债务限额</w:t>
            </w:r>
          </w:p>
        </w:tc>
        <w:tc>
          <w:tcPr>
            <w:tcW w:w="2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一般债务余额预计执行数</w:t>
            </w:r>
          </w:p>
        </w:tc>
      </w:tr>
      <w:tr>
        <w:tblPrEx>
          <w:tblCellMar>
            <w:top w:w="15" w:type="dxa"/>
            <w:left w:w="15" w:type="dxa"/>
            <w:bottom w:w="15" w:type="dxa"/>
            <w:right w:w="15" w:type="dxa"/>
          </w:tblCellMar>
        </w:tblPrEx>
        <w:trPr>
          <w:trHeight w:val="572" w:hRule="atLeast"/>
        </w:trPr>
        <w:tc>
          <w:tcPr>
            <w:tcW w:w="2351" w:type="dxa"/>
            <w:tcBorders>
              <w:top w:val="single" w:color="000000" w:sz="4" w:space="0"/>
              <w:left w:val="single" w:color="000000" w:sz="4" w:space="0"/>
              <w:bottom w:val="single" w:color="000000" w:sz="4" w:space="0"/>
              <w:right w:val="single" w:color="000000" w:sz="4" w:space="0"/>
            </w:tcBorders>
            <w:vAlign w:val="center"/>
          </w:tcPr>
          <w:p>
            <w:pPr>
              <w:widowControl/>
              <w:ind w:firstLine="540" w:firstLineChars="300"/>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准东开发区</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6.62</w:t>
            </w:r>
          </w:p>
        </w:tc>
        <w:tc>
          <w:tcPr>
            <w:tcW w:w="25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0.1</w:t>
            </w:r>
          </w:p>
        </w:tc>
        <w:tc>
          <w:tcPr>
            <w:tcW w:w="2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5.934</w:t>
            </w:r>
          </w:p>
        </w:tc>
      </w:tr>
    </w:tbl>
    <w:p>
      <w:pPr>
        <w:rPr>
          <w:sz w:val="22"/>
          <w:szCs w:val="22"/>
        </w:rPr>
      </w:pPr>
    </w:p>
    <w:tbl>
      <w:tblPr>
        <w:tblStyle w:val="5"/>
        <w:tblpPr w:leftFromText="180" w:rightFromText="180" w:vertAnchor="text" w:horzAnchor="page" w:tblpX="1265" w:tblpY="306"/>
        <w:tblOverlap w:val="never"/>
        <w:tblW w:w="9440" w:type="dxa"/>
        <w:tblInd w:w="0" w:type="dxa"/>
        <w:tblLayout w:type="fixed"/>
        <w:tblCellMar>
          <w:top w:w="15" w:type="dxa"/>
          <w:left w:w="15" w:type="dxa"/>
          <w:bottom w:w="15" w:type="dxa"/>
          <w:right w:w="15" w:type="dxa"/>
        </w:tblCellMar>
      </w:tblPr>
      <w:tblGrid>
        <w:gridCol w:w="2447"/>
        <w:gridCol w:w="1870"/>
        <w:gridCol w:w="2295"/>
        <w:gridCol w:w="2828"/>
      </w:tblGrid>
      <w:tr>
        <w:tblPrEx>
          <w:tblCellMar>
            <w:top w:w="15" w:type="dxa"/>
            <w:left w:w="15" w:type="dxa"/>
            <w:bottom w:w="15" w:type="dxa"/>
            <w:right w:w="15" w:type="dxa"/>
          </w:tblCellMar>
        </w:tblPrEx>
        <w:trPr>
          <w:trHeight w:val="711" w:hRule="atLeast"/>
        </w:trPr>
        <w:tc>
          <w:tcPr>
            <w:tcW w:w="9440" w:type="dxa"/>
            <w:gridSpan w:val="4"/>
            <w:vAlign w:val="center"/>
          </w:tcPr>
          <w:p>
            <w:pPr>
              <w:widowControl/>
              <w:jc w:val="left"/>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表</w:t>
            </w:r>
            <w:r>
              <w:rPr>
                <w:rFonts w:hint="eastAsia" w:ascii="宋体" w:hAnsi="宋体" w:cs="宋体"/>
                <w:color w:val="000000"/>
                <w:kern w:val="0"/>
                <w:sz w:val="20"/>
                <w:szCs w:val="20"/>
                <w:lang w:val="en-US" w:eastAsia="zh-CN" w:bidi="ar"/>
              </w:rPr>
              <w:t>12</w:t>
            </w:r>
          </w:p>
          <w:p>
            <w:pPr>
              <w:widowControl/>
              <w:jc w:val="center"/>
              <w:textAlignment w:val="center"/>
              <w:rPr>
                <w:rFonts w:ascii="宋体" w:hAnsi="宋体" w:cs="宋体"/>
                <w:b/>
                <w:color w:val="000000"/>
                <w:kern w:val="0"/>
                <w:sz w:val="20"/>
                <w:szCs w:val="20"/>
                <w:lang w:bidi="ar"/>
              </w:rPr>
            </w:pPr>
            <w:r>
              <w:rPr>
                <w:rFonts w:ascii="宋体" w:hAnsi="宋体" w:cs="宋体"/>
                <w:b/>
                <w:color w:val="000000"/>
                <w:kern w:val="0"/>
                <w:sz w:val="20"/>
                <w:szCs w:val="20"/>
                <w:lang w:bidi="ar"/>
              </w:rPr>
              <w:t>2021</w:t>
            </w:r>
            <w:r>
              <w:rPr>
                <w:rFonts w:hint="eastAsia" w:ascii="宋体" w:hAnsi="宋体" w:cs="宋体"/>
                <w:b/>
                <w:color w:val="000000"/>
                <w:kern w:val="0"/>
                <w:sz w:val="20"/>
                <w:szCs w:val="20"/>
                <w:lang w:bidi="ar"/>
              </w:rPr>
              <w:t>年</w:t>
            </w:r>
            <w:r>
              <w:rPr>
                <w:rFonts w:hint="eastAsia" w:ascii="宋体" w:hAnsi="宋体" w:cs="宋体"/>
                <w:b/>
                <w:color w:val="000000"/>
                <w:kern w:val="0"/>
                <w:sz w:val="20"/>
                <w:szCs w:val="20"/>
                <w:lang w:val="en-US" w:eastAsia="zh-CN" w:bidi="ar"/>
              </w:rPr>
              <w:t>准东开发区</w:t>
            </w:r>
            <w:r>
              <w:rPr>
                <w:rFonts w:hint="eastAsia" w:ascii="宋体" w:hAnsi="宋体" w:cs="宋体"/>
                <w:b/>
                <w:color w:val="000000"/>
                <w:kern w:val="0"/>
                <w:sz w:val="20"/>
                <w:szCs w:val="20"/>
                <w:lang w:bidi="ar"/>
              </w:rPr>
              <w:t>专项债务限额、余额情况表</w:t>
            </w:r>
          </w:p>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单位：亿元</w:t>
            </w:r>
          </w:p>
        </w:tc>
      </w:tr>
      <w:tr>
        <w:tblPrEx>
          <w:tblCellMar>
            <w:top w:w="15" w:type="dxa"/>
            <w:left w:w="15" w:type="dxa"/>
            <w:bottom w:w="15" w:type="dxa"/>
            <w:right w:w="15" w:type="dxa"/>
          </w:tblCellMar>
        </w:tblPrEx>
        <w:trPr>
          <w:trHeight w:val="770" w:hRule="atLeast"/>
        </w:trPr>
        <w:tc>
          <w:tcPr>
            <w:tcW w:w="24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行政区划名称</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专项债务限额总额</w:t>
            </w:r>
          </w:p>
        </w:tc>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其中：新增专项债务限额</w:t>
            </w:r>
          </w:p>
        </w:tc>
        <w:tc>
          <w:tcPr>
            <w:tcW w:w="28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专项债务余额预计执行数</w:t>
            </w:r>
          </w:p>
        </w:tc>
      </w:tr>
      <w:tr>
        <w:tblPrEx>
          <w:tblCellMar>
            <w:top w:w="15" w:type="dxa"/>
            <w:left w:w="15" w:type="dxa"/>
            <w:bottom w:w="15" w:type="dxa"/>
            <w:right w:w="15" w:type="dxa"/>
          </w:tblCellMar>
        </w:tblPrEx>
        <w:trPr>
          <w:trHeight w:val="641" w:hRule="atLeast"/>
        </w:trPr>
        <w:tc>
          <w:tcPr>
            <w:tcW w:w="2447" w:type="dxa"/>
            <w:tcBorders>
              <w:top w:val="single" w:color="000000" w:sz="4" w:space="0"/>
              <w:left w:val="single" w:color="000000" w:sz="4" w:space="0"/>
              <w:bottom w:val="single" w:color="000000" w:sz="4" w:space="0"/>
              <w:right w:val="single" w:color="000000" w:sz="4" w:space="0"/>
            </w:tcBorders>
            <w:vAlign w:val="center"/>
          </w:tcPr>
          <w:p>
            <w:pPr>
              <w:widowControl/>
              <w:ind w:firstLine="540" w:firstLineChars="300"/>
              <w:textAlignment w:val="center"/>
              <w:rPr>
                <w:rFonts w:ascii="宋体" w:hAnsi="宋体" w:cs="宋体"/>
                <w:color w:val="000000"/>
                <w:sz w:val="20"/>
                <w:szCs w:val="20"/>
              </w:rPr>
            </w:pPr>
            <w:r>
              <w:rPr>
                <w:rFonts w:hint="eastAsia" w:ascii="宋体" w:hAnsi="宋体" w:cs="宋体"/>
                <w:color w:val="000000"/>
                <w:kern w:val="0"/>
                <w:sz w:val="18"/>
                <w:szCs w:val="18"/>
                <w:lang w:bidi="ar"/>
              </w:rPr>
              <w:t>准东开发区</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17.4</w:t>
            </w:r>
          </w:p>
        </w:tc>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6.5</w:t>
            </w:r>
          </w:p>
        </w:tc>
        <w:tc>
          <w:tcPr>
            <w:tcW w:w="28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16.6</w:t>
            </w:r>
          </w:p>
        </w:tc>
      </w:tr>
    </w:tbl>
    <w:p>
      <w:pPr>
        <w:rPr>
          <w:rFonts w:hint="eastAsia"/>
          <w:sz w:val="22"/>
          <w:szCs w:val="22"/>
        </w:rPr>
      </w:pPr>
    </w:p>
    <w:tbl>
      <w:tblPr>
        <w:tblStyle w:val="5"/>
        <w:tblW w:w="8336" w:type="dxa"/>
        <w:tblInd w:w="0" w:type="dxa"/>
        <w:tblLayout w:type="fixed"/>
        <w:tblCellMar>
          <w:top w:w="15" w:type="dxa"/>
          <w:left w:w="15" w:type="dxa"/>
          <w:bottom w:w="15" w:type="dxa"/>
          <w:right w:w="15" w:type="dxa"/>
        </w:tblCellMar>
      </w:tblPr>
      <w:tblGrid>
        <w:gridCol w:w="1477"/>
        <w:gridCol w:w="208"/>
        <w:gridCol w:w="652"/>
        <w:gridCol w:w="135"/>
        <w:gridCol w:w="124"/>
        <w:gridCol w:w="552"/>
        <w:gridCol w:w="6"/>
        <w:gridCol w:w="202"/>
        <w:gridCol w:w="116"/>
        <w:gridCol w:w="458"/>
        <w:gridCol w:w="346"/>
        <w:gridCol w:w="375"/>
        <w:gridCol w:w="9"/>
        <w:gridCol w:w="214"/>
        <w:gridCol w:w="103"/>
        <w:gridCol w:w="283"/>
        <w:gridCol w:w="69"/>
        <w:gridCol w:w="7"/>
        <w:gridCol w:w="171"/>
        <w:gridCol w:w="197"/>
        <w:gridCol w:w="108"/>
        <w:gridCol w:w="440"/>
        <w:gridCol w:w="288"/>
        <w:gridCol w:w="90"/>
        <w:gridCol w:w="382"/>
        <w:gridCol w:w="293"/>
        <w:gridCol w:w="131"/>
        <w:gridCol w:w="224"/>
        <w:gridCol w:w="676"/>
      </w:tblGrid>
      <w:tr>
        <w:tblPrEx>
          <w:tblCellMar>
            <w:top w:w="15" w:type="dxa"/>
            <w:left w:w="15" w:type="dxa"/>
            <w:bottom w:w="15" w:type="dxa"/>
            <w:right w:w="15" w:type="dxa"/>
          </w:tblCellMar>
        </w:tblPrEx>
        <w:trPr>
          <w:trHeight w:val="525" w:hRule="atLeast"/>
        </w:trPr>
        <w:tc>
          <w:tcPr>
            <w:tcW w:w="8336" w:type="dxa"/>
            <w:gridSpan w:val="29"/>
            <w:vAlign w:val="center"/>
          </w:tcPr>
          <w:p>
            <w:pPr>
              <w:widowControl/>
              <w:jc w:val="left"/>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表</w:t>
            </w:r>
            <w:r>
              <w:rPr>
                <w:rFonts w:hint="eastAsia" w:ascii="宋体" w:hAnsi="宋体" w:cs="宋体"/>
                <w:color w:val="000000"/>
                <w:kern w:val="0"/>
                <w:sz w:val="20"/>
                <w:szCs w:val="20"/>
                <w:lang w:val="en-US" w:eastAsia="zh-CN" w:bidi="ar"/>
              </w:rPr>
              <w:t>13</w:t>
            </w:r>
          </w:p>
          <w:p>
            <w:pPr>
              <w:widowControl/>
              <w:jc w:val="center"/>
              <w:textAlignment w:val="center"/>
              <w:rPr>
                <w:rFonts w:ascii="宋体" w:hAnsi="宋体" w:cs="宋体"/>
                <w:b/>
                <w:bCs/>
                <w:color w:val="000000"/>
                <w:sz w:val="32"/>
                <w:szCs w:val="32"/>
              </w:rPr>
            </w:pPr>
            <w:r>
              <w:rPr>
                <w:rFonts w:ascii="宋体" w:hAnsi="宋体" w:cs="宋体"/>
                <w:b/>
                <w:color w:val="000000"/>
                <w:kern w:val="0"/>
                <w:sz w:val="20"/>
                <w:szCs w:val="20"/>
                <w:lang w:bidi="ar"/>
              </w:rPr>
              <w:t>2021</w:t>
            </w:r>
            <w:r>
              <w:rPr>
                <w:rFonts w:hint="eastAsia" w:ascii="宋体" w:hAnsi="宋体" w:cs="宋体"/>
                <w:b/>
                <w:color w:val="000000"/>
                <w:kern w:val="0"/>
                <w:sz w:val="20"/>
                <w:szCs w:val="20"/>
                <w:lang w:bidi="ar"/>
              </w:rPr>
              <w:t>年</w:t>
            </w:r>
            <w:r>
              <w:rPr>
                <w:rFonts w:hint="eastAsia" w:ascii="宋体" w:hAnsi="宋体" w:cs="宋体"/>
                <w:b/>
                <w:color w:val="000000"/>
                <w:kern w:val="0"/>
                <w:sz w:val="20"/>
                <w:szCs w:val="20"/>
                <w:lang w:val="en-US" w:eastAsia="zh-CN" w:bidi="ar"/>
              </w:rPr>
              <w:t>准东开发区</w:t>
            </w:r>
            <w:r>
              <w:rPr>
                <w:rFonts w:hint="eastAsia" w:ascii="宋体" w:hAnsi="宋体" w:cs="宋体"/>
                <w:b/>
                <w:color w:val="000000"/>
                <w:kern w:val="0"/>
                <w:sz w:val="20"/>
                <w:szCs w:val="20"/>
                <w:lang w:bidi="ar"/>
              </w:rPr>
              <w:t>债务限额、余额（含一般债务限额、余额和专项债务限额、余额）情况表</w:t>
            </w:r>
          </w:p>
        </w:tc>
      </w:tr>
      <w:tr>
        <w:tblPrEx>
          <w:tblCellMar>
            <w:top w:w="15" w:type="dxa"/>
            <w:left w:w="15" w:type="dxa"/>
            <w:bottom w:w="15" w:type="dxa"/>
            <w:right w:w="15" w:type="dxa"/>
          </w:tblCellMar>
        </w:tblPrEx>
        <w:trPr>
          <w:trHeight w:val="375" w:hRule="atLeast"/>
        </w:trPr>
        <w:tc>
          <w:tcPr>
            <w:tcW w:w="1477" w:type="dxa"/>
            <w:vAlign w:val="center"/>
          </w:tcPr>
          <w:p>
            <w:pPr>
              <w:rPr>
                <w:rFonts w:ascii="宋体" w:hAnsi="宋体" w:cs="宋体"/>
                <w:color w:val="000000"/>
                <w:sz w:val="20"/>
                <w:szCs w:val="20"/>
              </w:rPr>
            </w:pPr>
          </w:p>
        </w:tc>
        <w:tc>
          <w:tcPr>
            <w:tcW w:w="995" w:type="dxa"/>
            <w:gridSpan w:val="3"/>
            <w:vAlign w:val="center"/>
          </w:tcPr>
          <w:p>
            <w:pPr>
              <w:rPr>
                <w:rFonts w:ascii="宋体" w:hAnsi="宋体" w:cs="宋体"/>
                <w:color w:val="000000"/>
                <w:sz w:val="20"/>
                <w:szCs w:val="20"/>
              </w:rPr>
            </w:pPr>
          </w:p>
        </w:tc>
        <w:tc>
          <w:tcPr>
            <w:tcW w:w="676" w:type="dxa"/>
            <w:gridSpan w:val="2"/>
            <w:vAlign w:val="center"/>
          </w:tcPr>
          <w:p>
            <w:pPr>
              <w:rPr>
                <w:rFonts w:ascii="宋体" w:hAnsi="宋体" w:cs="宋体"/>
                <w:color w:val="000000"/>
                <w:sz w:val="20"/>
                <w:szCs w:val="20"/>
              </w:rPr>
            </w:pPr>
          </w:p>
        </w:tc>
        <w:tc>
          <w:tcPr>
            <w:tcW w:w="782" w:type="dxa"/>
            <w:gridSpan w:val="4"/>
            <w:vAlign w:val="center"/>
          </w:tcPr>
          <w:p>
            <w:pPr>
              <w:rPr>
                <w:rFonts w:ascii="宋体" w:hAnsi="宋体" w:cs="宋体"/>
                <w:color w:val="000000"/>
                <w:sz w:val="20"/>
                <w:szCs w:val="20"/>
              </w:rPr>
            </w:pPr>
          </w:p>
        </w:tc>
        <w:tc>
          <w:tcPr>
            <w:tcW w:w="730" w:type="dxa"/>
            <w:gridSpan w:val="3"/>
            <w:vAlign w:val="center"/>
          </w:tcPr>
          <w:p>
            <w:pPr>
              <w:rPr>
                <w:rFonts w:ascii="宋体" w:hAnsi="宋体" w:cs="宋体"/>
                <w:color w:val="000000"/>
                <w:sz w:val="20"/>
                <w:szCs w:val="20"/>
              </w:rPr>
            </w:pPr>
          </w:p>
        </w:tc>
        <w:tc>
          <w:tcPr>
            <w:tcW w:w="676" w:type="dxa"/>
            <w:gridSpan w:val="5"/>
            <w:vAlign w:val="center"/>
          </w:tcPr>
          <w:p>
            <w:pPr>
              <w:rPr>
                <w:rFonts w:ascii="宋体" w:hAnsi="宋体" w:cs="宋体"/>
                <w:color w:val="000000"/>
                <w:sz w:val="20"/>
                <w:szCs w:val="20"/>
              </w:rPr>
            </w:pPr>
          </w:p>
        </w:tc>
        <w:tc>
          <w:tcPr>
            <w:tcW w:w="476" w:type="dxa"/>
            <w:gridSpan w:val="3"/>
            <w:vAlign w:val="center"/>
          </w:tcPr>
          <w:p>
            <w:pPr>
              <w:rPr>
                <w:rFonts w:ascii="宋体" w:hAnsi="宋体" w:cs="宋体"/>
                <w:color w:val="000000"/>
                <w:sz w:val="20"/>
                <w:szCs w:val="20"/>
              </w:rPr>
            </w:pPr>
          </w:p>
        </w:tc>
        <w:tc>
          <w:tcPr>
            <w:tcW w:w="728" w:type="dxa"/>
            <w:gridSpan w:val="2"/>
            <w:vAlign w:val="center"/>
          </w:tcPr>
          <w:p>
            <w:pPr>
              <w:rPr>
                <w:rFonts w:ascii="宋体" w:hAnsi="宋体" w:cs="宋体"/>
                <w:color w:val="000000"/>
                <w:sz w:val="20"/>
                <w:szCs w:val="20"/>
              </w:rPr>
            </w:pPr>
          </w:p>
        </w:tc>
        <w:tc>
          <w:tcPr>
            <w:tcW w:w="765" w:type="dxa"/>
            <w:gridSpan w:val="3"/>
            <w:vAlign w:val="center"/>
          </w:tcPr>
          <w:p>
            <w:pPr>
              <w:rPr>
                <w:rFonts w:ascii="宋体" w:hAnsi="宋体" w:cs="宋体"/>
                <w:color w:val="000000"/>
                <w:sz w:val="20"/>
                <w:szCs w:val="20"/>
              </w:rPr>
            </w:pPr>
          </w:p>
        </w:tc>
        <w:tc>
          <w:tcPr>
            <w:tcW w:w="1031" w:type="dxa"/>
            <w:gridSpan w:val="3"/>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单位：亿元</w:t>
            </w:r>
          </w:p>
        </w:tc>
      </w:tr>
      <w:tr>
        <w:tblPrEx>
          <w:tblCellMar>
            <w:top w:w="15" w:type="dxa"/>
            <w:left w:w="15" w:type="dxa"/>
            <w:bottom w:w="15" w:type="dxa"/>
            <w:right w:w="15" w:type="dxa"/>
          </w:tblCellMar>
        </w:tblPrEx>
        <w:trPr>
          <w:trHeight w:val="375" w:hRule="atLeast"/>
        </w:trPr>
        <w:tc>
          <w:tcPr>
            <w:tcW w:w="14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行政区划名称</w:t>
            </w:r>
          </w:p>
        </w:tc>
        <w:tc>
          <w:tcPr>
            <w:tcW w:w="2453"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政府债务限额总额</w:t>
            </w:r>
          </w:p>
        </w:tc>
        <w:tc>
          <w:tcPr>
            <w:tcW w:w="1882"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其中：新增债务限额</w:t>
            </w:r>
          </w:p>
        </w:tc>
        <w:tc>
          <w:tcPr>
            <w:tcW w:w="2524"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政府债务余额预计执行数</w:t>
            </w:r>
          </w:p>
        </w:tc>
      </w:tr>
      <w:tr>
        <w:tblPrEx>
          <w:tblCellMar>
            <w:top w:w="15" w:type="dxa"/>
            <w:left w:w="15" w:type="dxa"/>
            <w:bottom w:w="15" w:type="dxa"/>
            <w:right w:w="15" w:type="dxa"/>
          </w:tblCellMar>
        </w:tblPrEx>
        <w:trPr>
          <w:trHeight w:val="375" w:hRule="atLeast"/>
        </w:trPr>
        <w:tc>
          <w:tcPr>
            <w:tcW w:w="14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szCs w:val="20"/>
              </w:rPr>
            </w:pPr>
          </w:p>
        </w:tc>
        <w:tc>
          <w:tcPr>
            <w:tcW w:w="86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合计</w:t>
            </w:r>
          </w:p>
        </w:tc>
        <w:tc>
          <w:tcPr>
            <w:tcW w:w="811" w:type="dxa"/>
            <w:gridSpan w:val="3"/>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一般债务</w:t>
            </w:r>
          </w:p>
        </w:tc>
        <w:tc>
          <w:tcPr>
            <w:tcW w:w="782" w:type="dxa"/>
            <w:gridSpan w:val="4"/>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专项债务</w:t>
            </w:r>
          </w:p>
        </w:tc>
        <w:tc>
          <w:tcPr>
            <w:tcW w:w="73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合计</w:t>
            </w:r>
          </w:p>
        </w:tc>
        <w:tc>
          <w:tcPr>
            <w:tcW w:w="6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一般债务</w:t>
            </w:r>
          </w:p>
        </w:tc>
        <w:tc>
          <w:tcPr>
            <w:tcW w:w="552"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专项债务</w:t>
            </w:r>
          </w:p>
        </w:tc>
        <w:tc>
          <w:tcPr>
            <w:tcW w:w="81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合计</w:t>
            </w:r>
          </w:p>
        </w:tc>
        <w:tc>
          <w:tcPr>
            <w:tcW w:w="806" w:type="dxa"/>
            <w:gridSpan w:val="3"/>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一般债务</w:t>
            </w:r>
          </w:p>
        </w:tc>
        <w:tc>
          <w:tcPr>
            <w:tcW w:w="900" w:type="dxa"/>
            <w:gridSpan w:val="2"/>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专项债务</w:t>
            </w:r>
          </w:p>
        </w:tc>
      </w:tr>
      <w:tr>
        <w:tblPrEx>
          <w:tblCellMar>
            <w:top w:w="15" w:type="dxa"/>
            <w:left w:w="15" w:type="dxa"/>
            <w:bottom w:w="15" w:type="dxa"/>
            <w:right w:w="15" w:type="dxa"/>
          </w:tblCellMar>
        </w:tblPrEx>
        <w:trPr>
          <w:trHeight w:val="411" w:hRule="atLeast"/>
        </w:trPr>
        <w:tc>
          <w:tcPr>
            <w:tcW w:w="1477" w:type="dxa"/>
            <w:tcBorders>
              <w:top w:val="single" w:color="auto" w:sz="4" w:space="0"/>
              <w:left w:val="single" w:color="auto" w:sz="4" w:space="0"/>
              <w:right w:val="single" w:color="auto" w:sz="4" w:space="0"/>
            </w:tcBorders>
            <w:vAlign w:val="center"/>
          </w:tcPr>
          <w:p>
            <w:pPr>
              <w:widowControl/>
              <w:ind w:firstLine="360" w:firstLineChars="200"/>
              <w:jc w:val="both"/>
              <w:textAlignment w:val="center"/>
              <w:rPr>
                <w:rFonts w:ascii="宋体" w:hAnsi="宋体" w:cs="宋体"/>
                <w:color w:val="000000"/>
                <w:kern w:val="0"/>
                <w:sz w:val="20"/>
                <w:szCs w:val="20"/>
                <w:lang w:bidi="ar"/>
              </w:rPr>
            </w:pPr>
            <w:r>
              <w:rPr>
                <w:rFonts w:hint="eastAsia" w:ascii="宋体" w:hAnsi="宋体" w:cs="宋体"/>
                <w:color w:val="000000"/>
                <w:kern w:val="0"/>
                <w:sz w:val="18"/>
                <w:szCs w:val="18"/>
                <w:lang w:bidi="ar"/>
              </w:rPr>
              <w:t>准东开发区</w:t>
            </w:r>
          </w:p>
        </w:tc>
        <w:tc>
          <w:tcPr>
            <w:tcW w:w="860" w:type="dxa"/>
            <w:gridSpan w:val="2"/>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24.02</w:t>
            </w:r>
          </w:p>
        </w:tc>
        <w:tc>
          <w:tcPr>
            <w:tcW w:w="817" w:type="dxa"/>
            <w:gridSpan w:val="4"/>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6.62</w:t>
            </w:r>
          </w:p>
        </w:tc>
        <w:tc>
          <w:tcPr>
            <w:tcW w:w="776" w:type="dxa"/>
            <w:gridSpan w:val="3"/>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17.4</w:t>
            </w:r>
          </w:p>
        </w:tc>
        <w:tc>
          <w:tcPr>
            <w:tcW w:w="721" w:type="dxa"/>
            <w:gridSpan w:val="2"/>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6.6</w:t>
            </w:r>
          </w:p>
        </w:tc>
        <w:tc>
          <w:tcPr>
            <w:tcW w:w="678" w:type="dxa"/>
            <w:gridSpan w:val="5"/>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0.1</w:t>
            </w:r>
          </w:p>
        </w:tc>
        <w:tc>
          <w:tcPr>
            <w:tcW w:w="483" w:type="dxa"/>
            <w:gridSpan w:val="4"/>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6.5</w:t>
            </w:r>
          </w:p>
        </w:tc>
        <w:tc>
          <w:tcPr>
            <w:tcW w:w="818" w:type="dxa"/>
            <w:gridSpan w:val="3"/>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22.534</w:t>
            </w:r>
          </w:p>
        </w:tc>
        <w:tc>
          <w:tcPr>
            <w:tcW w:w="806" w:type="dxa"/>
            <w:gridSpan w:val="3"/>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5.934</w:t>
            </w:r>
          </w:p>
        </w:tc>
        <w:tc>
          <w:tcPr>
            <w:tcW w:w="900" w:type="dxa"/>
            <w:gridSpan w:val="2"/>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16.6</w:t>
            </w:r>
          </w:p>
        </w:tc>
      </w:tr>
      <w:tr>
        <w:tblPrEx>
          <w:tblCellMar>
            <w:top w:w="15" w:type="dxa"/>
            <w:left w:w="15" w:type="dxa"/>
            <w:bottom w:w="15" w:type="dxa"/>
            <w:right w:w="15" w:type="dxa"/>
          </w:tblCellMar>
        </w:tblPrEx>
        <w:trPr>
          <w:trHeight w:val="525" w:hRule="atLeast"/>
        </w:trPr>
        <w:tc>
          <w:tcPr>
            <w:tcW w:w="8336" w:type="dxa"/>
            <w:gridSpan w:val="29"/>
            <w:vAlign w:val="center"/>
          </w:tcPr>
          <w:p>
            <w:pPr>
              <w:widowControl/>
              <w:jc w:val="left"/>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表</w:t>
            </w:r>
            <w:r>
              <w:rPr>
                <w:rFonts w:hint="eastAsia" w:ascii="宋体" w:hAnsi="宋体" w:cs="宋体"/>
                <w:color w:val="000000"/>
                <w:kern w:val="0"/>
                <w:sz w:val="20"/>
                <w:szCs w:val="20"/>
                <w:lang w:val="en-US" w:eastAsia="zh-CN" w:bidi="ar"/>
              </w:rPr>
              <w:t>14</w:t>
            </w:r>
          </w:p>
          <w:p>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2021</w:t>
            </w:r>
            <w:r>
              <w:rPr>
                <w:rFonts w:hint="eastAsia" w:ascii="宋体" w:hAnsi="宋体" w:cs="宋体"/>
                <w:b/>
                <w:color w:val="000000"/>
                <w:kern w:val="0"/>
                <w:sz w:val="20"/>
                <w:szCs w:val="20"/>
                <w:lang w:bidi="ar"/>
              </w:rPr>
              <w:t>年</w:t>
            </w:r>
            <w:r>
              <w:rPr>
                <w:rFonts w:hint="eastAsia" w:ascii="宋体" w:hAnsi="宋体" w:cs="宋体"/>
                <w:b/>
                <w:color w:val="000000"/>
                <w:kern w:val="0"/>
                <w:sz w:val="20"/>
                <w:szCs w:val="20"/>
                <w:lang w:val="en-US" w:eastAsia="zh-CN" w:bidi="ar"/>
              </w:rPr>
              <w:t>准东开发区</w:t>
            </w:r>
            <w:r>
              <w:rPr>
                <w:rFonts w:hint="eastAsia" w:ascii="宋体" w:hAnsi="宋体" w:cs="宋体"/>
                <w:b/>
                <w:color w:val="000000"/>
                <w:kern w:val="0"/>
                <w:sz w:val="20"/>
                <w:szCs w:val="20"/>
                <w:lang w:bidi="ar"/>
              </w:rPr>
              <w:t>债券发行情况表</w:t>
            </w:r>
          </w:p>
        </w:tc>
      </w:tr>
      <w:tr>
        <w:tblPrEx>
          <w:tblCellMar>
            <w:top w:w="15" w:type="dxa"/>
            <w:left w:w="15" w:type="dxa"/>
            <w:bottom w:w="15" w:type="dxa"/>
            <w:right w:w="15" w:type="dxa"/>
          </w:tblCellMar>
        </w:tblPrEx>
        <w:trPr>
          <w:trHeight w:val="375" w:hRule="atLeast"/>
        </w:trPr>
        <w:tc>
          <w:tcPr>
            <w:tcW w:w="3356" w:type="dxa"/>
            <w:gridSpan w:val="8"/>
            <w:vAlign w:val="center"/>
          </w:tcPr>
          <w:p>
            <w:pPr>
              <w:jc w:val="left"/>
              <w:rPr>
                <w:rFonts w:ascii="宋体" w:hAnsi="宋体" w:cs="宋体"/>
                <w:color w:val="000000"/>
                <w:sz w:val="20"/>
                <w:szCs w:val="20"/>
              </w:rPr>
            </w:pPr>
          </w:p>
        </w:tc>
        <w:tc>
          <w:tcPr>
            <w:tcW w:w="920" w:type="dxa"/>
            <w:gridSpan w:val="3"/>
            <w:vAlign w:val="center"/>
          </w:tcPr>
          <w:p>
            <w:pPr>
              <w:rPr>
                <w:rFonts w:ascii="宋体" w:hAnsi="宋体" w:cs="宋体"/>
                <w:color w:val="000000"/>
                <w:sz w:val="20"/>
                <w:szCs w:val="20"/>
              </w:rPr>
            </w:pPr>
          </w:p>
        </w:tc>
        <w:tc>
          <w:tcPr>
            <w:tcW w:w="598" w:type="dxa"/>
            <w:gridSpan w:val="3"/>
            <w:vAlign w:val="center"/>
          </w:tcPr>
          <w:p>
            <w:pPr>
              <w:rPr>
                <w:rFonts w:ascii="宋体" w:hAnsi="宋体" w:cs="宋体"/>
                <w:color w:val="000000"/>
                <w:sz w:val="20"/>
                <w:szCs w:val="20"/>
              </w:rPr>
            </w:pPr>
          </w:p>
        </w:tc>
        <w:tc>
          <w:tcPr>
            <w:tcW w:w="633" w:type="dxa"/>
            <w:gridSpan w:val="5"/>
            <w:vAlign w:val="center"/>
          </w:tcPr>
          <w:p>
            <w:pPr>
              <w:rPr>
                <w:rFonts w:ascii="宋体" w:hAnsi="宋体" w:cs="宋体"/>
                <w:color w:val="000000"/>
                <w:sz w:val="20"/>
                <w:szCs w:val="20"/>
              </w:rPr>
            </w:pPr>
          </w:p>
        </w:tc>
        <w:tc>
          <w:tcPr>
            <w:tcW w:w="745" w:type="dxa"/>
            <w:gridSpan w:val="3"/>
            <w:vAlign w:val="center"/>
          </w:tcPr>
          <w:p>
            <w:pPr>
              <w:rPr>
                <w:rFonts w:ascii="宋体" w:hAnsi="宋体" w:cs="宋体"/>
                <w:color w:val="000000"/>
                <w:sz w:val="20"/>
                <w:szCs w:val="20"/>
              </w:rPr>
            </w:pPr>
          </w:p>
        </w:tc>
        <w:tc>
          <w:tcPr>
            <w:tcW w:w="2084" w:type="dxa"/>
            <w:gridSpan w:val="7"/>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单位：亿元</w:t>
            </w:r>
          </w:p>
        </w:tc>
      </w:tr>
      <w:tr>
        <w:tblPrEx>
          <w:tblCellMar>
            <w:top w:w="15" w:type="dxa"/>
            <w:left w:w="15" w:type="dxa"/>
            <w:bottom w:w="15" w:type="dxa"/>
            <w:right w:w="15" w:type="dxa"/>
          </w:tblCellMar>
        </w:tblPrEx>
        <w:trPr>
          <w:trHeight w:val="330" w:hRule="atLeast"/>
        </w:trPr>
        <w:tc>
          <w:tcPr>
            <w:tcW w:w="16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行政区划名称</w:t>
            </w:r>
          </w:p>
        </w:tc>
        <w:tc>
          <w:tcPr>
            <w:tcW w:w="2591"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政府债券发行总额</w:t>
            </w:r>
          </w:p>
        </w:tc>
        <w:tc>
          <w:tcPr>
            <w:tcW w:w="1976"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其中：新增债券额度</w:t>
            </w:r>
          </w:p>
        </w:tc>
        <w:tc>
          <w:tcPr>
            <w:tcW w:w="2084"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其中：再融资债券额度</w:t>
            </w:r>
          </w:p>
        </w:tc>
      </w:tr>
      <w:tr>
        <w:tblPrEx>
          <w:tblCellMar>
            <w:top w:w="15" w:type="dxa"/>
            <w:left w:w="15" w:type="dxa"/>
            <w:bottom w:w="15" w:type="dxa"/>
            <w:right w:w="15" w:type="dxa"/>
          </w:tblCellMar>
        </w:tblPrEx>
        <w:trPr>
          <w:trHeight w:val="330" w:hRule="atLeast"/>
        </w:trPr>
        <w:tc>
          <w:tcPr>
            <w:tcW w:w="16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szCs w:val="20"/>
              </w:rPr>
            </w:pPr>
          </w:p>
        </w:tc>
        <w:tc>
          <w:tcPr>
            <w:tcW w:w="91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合计</w:t>
            </w:r>
          </w:p>
        </w:tc>
        <w:tc>
          <w:tcPr>
            <w:tcW w:w="876"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新增债券</w:t>
            </w:r>
          </w:p>
        </w:tc>
        <w:tc>
          <w:tcPr>
            <w:tcW w:w="8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再融资债券</w:t>
            </w:r>
          </w:p>
        </w:tc>
        <w:tc>
          <w:tcPr>
            <w:tcW w:w="70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小计</w:t>
            </w:r>
          </w:p>
        </w:tc>
        <w:tc>
          <w:tcPr>
            <w:tcW w:w="727"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一般债券</w:t>
            </w:r>
          </w:p>
        </w:tc>
        <w:tc>
          <w:tcPr>
            <w:tcW w:w="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专项债券</w:t>
            </w:r>
          </w:p>
        </w:tc>
        <w:tc>
          <w:tcPr>
            <w:tcW w:w="7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小计</w:t>
            </w:r>
          </w:p>
        </w:tc>
        <w:tc>
          <w:tcPr>
            <w:tcW w:w="64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一般债券</w:t>
            </w:r>
          </w:p>
        </w:tc>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专项债券</w:t>
            </w:r>
          </w:p>
        </w:tc>
      </w:tr>
      <w:tr>
        <w:tblPrEx>
          <w:tblCellMar>
            <w:top w:w="15" w:type="dxa"/>
            <w:left w:w="15" w:type="dxa"/>
            <w:bottom w:w="15" w:type="dxa"/>
            <w:right w:w="15" w:type="dxa"/>
          </w:tblCellMar>
        </w:tblPrEx>
        <w:trPr>
          <w:trHeight w:val="624" w:hRule="atLeast"/>
        </w:trPr>
        <w:tc>
          <w:tcPr>
            <w:tcW w:w="1685"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360" w:firstLineChars="200"/>
              <w:jc w:val="both"/>
              <w:textAlignment w:val="center"/>
              <w:rPr>
                <w:rFonts w:ascii="宋体" w:hAnsi="宋体" w:cs="宋体"/>
                <w:color w:val="000000"/>
                <w:sz w:val="20"/>
                <w:szCs w:val="20"/>
              </w:rPr>
            </w:pPr>
            <w:r>
              <w:rPr>
                <w:rFonts w:hint="eastAsia" w:ascii="宋体" w:hAnsi="宋体" w:cs="宋体"/>
                <w:color w:val="000000"/>
                <w:kern w:val="0"/>
                <w:sz w:val="18"/>
                <w:szCs w:val="18"/>
                <w:lang w:bidi="ar"/>
              </w:rPr>
              <w:t>准东开发区</w:t>
            </w:r>
          </w:p>
        </w:tc>
        <w:tc>
          <w:tcPr>
            <w:tcW w:w="91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7.07</w:t>
            </w:r>
          </w:p>
        </w:tc>
        <w:tc>
          <w:tcPr>
            <w:tcW w:w="876"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6.6</w:t>
            </w:r>
          </w:p>
        </w:tc>
        <w:tc>
          <w:tcPr>
            <w:tcW w:w="8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0.47</w:t>
            </w:r>
          </w:p>
        </w:tc>
        <w:tc>
          <w:tcPr>
            <w:tcW w:w="70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0.4</w:t>
            </w:r>
          </w:p>
        </w:tc>
        <w:tc>
          <w:tcPr>
            <w:tcW w:w="727"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0.1</w:t>
            </w:r>
          </w:p>
        </w:tc>
        <w:tc>
          <w:tcPr>
            <w:tcW w:w="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6.5</w:t>
            </w:r>
          </w:p>
        </w:tc>
        <w:tc>
          <w:tcPr>
            <w:tcW w:w="7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0.47</w:t>
            </w:r>
          </w:p>
        </w:tc>
        <w:tc>
          <w:tcPr>
            <w:tcW w:w="64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0.47</w:t>
            </w:r>
          </w:p>
        </w:tc>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bl>
    <w:tbl>
      <w:tblPr>
        <w:tblStyle w:val="5"/>
        <w:tblpPr w:leftFromText="180" w:rightFromText="180" w:vertAnchor="text" w:horzAnchor="page" w:tblpX="372" w:tblpY="628"/>
        <w:tblOverlap w:val="never"/>
        <w:tblW w:w="15165" w:type="dxa"/>
        <w:tblInd w:w="0" w:type="dxa"/>
        <w:tblLayout w:type="fixed"/>
        <w:tblCellMar>
          <w:top w:w="15" w:type="dxa"/>
          <w:left w:w="15" w:type="dxa"/>
          <w:bottom w:w="15" w:type="dxa"/>
          <w:right w:w="15" w:type="dxa"/>
        </w:tblCellMar>
      </w:tblPr>
      <w:tblGrid>
        <w:gridCol w:w="11173"/>
        <w:gridCol w:w="1996"/>
        <w:gridCol w:w="1996"/>
      </w:tblGrid>
      <w:tr>
        <w:tblPrEx>
          <w:tblCellMar>
            <w:top w:w="15" w:type="dxa"/>
            <w:left w:w="15" w:type="dxa"/>
            <w:bottom w:w="15" w:type="dxa"/>
            <w:right w:w="15" w:type="dxa"/>
          </w:tblCellMar>
        </w:tblPrEx>
        <w:trPr>
          <w:gridAfter w:val="2"/>
          <w:wAfter w:w="3992" w:type="dxa"/>
          <w:trHeight w:val="375" w:hRule="atLeast"/>
        </w:trPr>
        <w:tc>
          <w:tcPr>
            <w:tcW w:w="11173" w:type="dxa"/>
            <w:vAlign w:val="center"/>
          </w:tcPr>
          <w:p>
            <w:pPr>
              <w:widowControl/>
              <w:jc w:val="left"/>
              <w:textAlignment w:val="center"/>
              <w:rPr>
                <w:rFonts w:hint="eastAsia" w:ascii="宋体" w:hAnsi="宋体" w:cs="宋体"/>
                <w:color w:val="000000"/>
                <w:kern w:val="0"/>
                <w:sz w:val="20"/>
                <w:szCs w:val="20"/>
                <w:lang w:bidi="ar"/>
              </w:rPr>
            </w:pPr>
          </w:p>
          <w:p>
            <w:pPr>
              <w:widowControl/>
              <w:jc w:val="left"/>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表</w:t>
            </w:r>
            <w:r>
              <w:rPr>
                <w:rFonts w:hint="eastAsia" w:ascii="宋体" w:hAnsi="宋体" w:cs="宋体"/>
                <w:color w:val="000000"/>
                <w:kern w:val="0"/>
                <w:sz w:val="20"/>
                <w:szCs w:val="20"/>
                <w:lang w:val="en-US" w:eastAsia="zh-CN" w:bidi="ar"/>
              </w:rPr>
              <w:t>15</w:t>
            </w:r>
          </w:p>
          <w:p>
            <w:pPr>
              <w:widowControl/>
              <w:jc w:val="center"/>
              <w:textAlignment w:val="center"/>
              <w:rPr>
                <w:rFonts w:ascii="宋体" w:hAnsi="宋体" w:cs="宋体"/>
                <w:b/>
                <w:color w:val="000000"/>
                <w:kern w:val="0"/>
                <w:sz w:val="20"/>
                <w:szCs w:val="20"/>
                <w:lang w:bidi="ar"/>
              </w:rPr>
            </w:pPr>
            <w:r>
              <w:rPr>
                <w:rFonts w:ascii="宋体" w:hAnsi="宋体" w:cs="宋体"/>
                <w:b/>
                <w:color w:val="000000"/>
                <w:kern w:val="0"/>
                <w:sz w:val="20"/>
                <w:szCs w:val="20"/>
                <w:lang w:bidi="ar"/>
              </w:rPr>
              <w:t>2021</w:t>
            </w:r>
            <w:r>
              <w:rPr>
                <w:rFonts w:hint="eastAsia" w:ascii="宋体" w:hAnsi="宋体" w:cs="宋体"/>
                <w:b/>
                <w:color w:val="000000"/>
                <w:kern w:val="0"/>
                <w:sz w:val="20"/>
                <w:szCs w:val="20"/>
                <w:lang w:bidi="ar"/>
              </w:rPr>
              <w:t>年</w:t>
            </w:r>
            <w:r>
              <w:rPr>
                <w:rFonts w:hint="eastAsia" w:ascii="宋体" w:hAnsi="宋体" w:cs="宋体"/>
                <w:b/>
                <w:color w:val="000000"/>
                <w:kern w:val="0"/>
                <w:sz w:val="20"/>
                <w:szCs w:val="20"/>
                <w:lang w:val="en-US" w:eastAsia="zh-CN" w:bidi="ar"/>
              </w:rPr>
              <w:t>准东开发区</w:t>
            </w:r>
            <w:r>
              <w:rPr>
                <w:rFonts w:hint="eastAsia" w:ascii="宋体" w:hAnsi="宋体" w:cs="宋体"/>
                <w:b/>
                <w:color w:val="000000"/>
                <w:kern w:val="0"/>
                <w:sz w:val="20"/>
                <w:szCs w:val="20"/>
                <w:lang w:bidi="ar"/>
              </w:rPr>
              <w:t>债券发行情况表</w:t>
            </w:r>
          </w:p>
          <w:p>
            <w:pPr>
              <w:widowControl/>
              <w:textAlignment w:val="center"/>
              <w:rPr>
                <w:rFonts w:ascii="宋体" w:hAnsi="宋体" w:cs="宋体"/>
                <w:b/>
                <w:color w:val="000000"/>
                <w:sz w:val="20"/>
                <w:szCs w:val="20"/>
              </w:rPr>
            </w:pPr>
            <w:r>
              <w:rPr>
                <w:rFonts w:hint="eastAsia" w:ascii="宋体" w:hAnsi="宋体" w:cs="宋体"/>
                <w:b/>
                <w:color w:val="000000"/>
                <w:kern w:val="0"/>
                <w:sz w:val="20"/>
                <w:szCs w:val="20"/>
                <w:lang w:bidi="ar"/>
              </w:rPr>
              <w:t xml:space="preserve">                                                                                             </w:t>
            </w:r>
            <w:r>
              <w:rPr>
                <w:rFonts w:hint="eastAsia" w:ascii="宋体" w:hAnsi="宋体" w:cs="宋体"/>
                <w:color w:val="000000"/>
                <w:kern w:val="0"/>
                <w:sz w:val="20"/>
                <w:szCs w:val="20"/>
                <w:lang w:bidi="ar"/>
              </w:rPr>
              <w:t>单位：亿元</w:t>
            </w:r>
          </w:p>
        </w:tc>
      </w:tr>
      <w:tr>
        <w:tblPrEx>
          <w:tblCellMar>
            <w:top w:w="15" w:type="dxa"/>
            <w:left w:w="15" w:type="dxa"/>
            <w:bottom w:w="15" w:type="dxa"/>
            <w:right w:w="15" w:type="dxa"/>
          </w:tblCellMar>
        </w:tblPrEx>
        <w:trPr>
          <w:trHeight w:val="375" w:hRule="atLeast"/>
        </w:trPr>
        <w:tc>
          <w:tcPr>
            <w:tcW w:w="11173" w:type="dxa"/>
            <w:vAlign w:val="center"/>
          </w:tcPr>
          <w:tbl>
            <w:tblPr>
              <w:tblStyle w:val="5"/>
              <w:tblpPr w:leftFromText="180" w:rightFromText="180" w:vertAnchor="text" w:horzAnchor="page" w:tblpX="-51" w:tblpY="-10045"/>
              <w:tblOverlap w:val="never"/>
              <w:tblW w:w="10877" w:type="dxa"/>
              <w:tblInd w:w="0" w:type="dxa"/>
              <w:tblLayout w:type="fixed"/>
              <w:tblCellMar>
                <w:top w:w="15" w:type="dxa"/>
                <w:left w:w="15" w:type="dxa"/>
                <w:bottom w:w="15" w:type="dxa"/>
                <w:right w:w="15" w:type="dxa"/>
              </w:tblCellMar>
            </w:tblPr>
            <w:tblGrid>
              <w:gridCol w:w="439"/>
              <w:gridCol w:w="931"/>
              <w:gridCol w:w="694"/>
              <w:gridCol w:w="732"/>
              <w:gridCol w:w="792"/>
              <w:gridCol w:w="733"/>
              <w:gridCol w:w="744"/>
              <w:gridCol w:w="804"/>
              <w:gridCol w:w="839"/>
              <w:gridCol w:w="839"/>
              <w:gridCol w:w="802"/>
              <w:gridCol w:w="803"/>
              <w:gridCol w:w="887"/>
              <w:gridCol w:w="838"/>
            </w:tblGrid>
            <w:tr>
              <w:tblPrEx>
                <w:tblCellMar>
                  <w:top w:w="15" w:type="dxa"/>
                  <w:left w:w="15" w:type="dxa"/>
                  <w:bottom w:w="15" w:type="dxa"/>
                  <w:right w:w="15" w:type="dxa"/>
                </w:tblCellMar>
              </w:tblPrEx>
              <w:trPr>
                <w:trHeight w:val="515" w:hRule="atLeast"/>
              </w:trPr>
              <w:tc>
                <w:tcPr>
                  <w:tcW w:w="1370"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债券类型</w:t>
                  </w:r>
                </w:p>
              </w:tc>
              <w:tc>
                <w:tcPr>
                  <w:tcW w:w="221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地方政府债券</w:t>
                  </w:r>
                </w:p>
              </w:tc>
              <w:tc>
                <w:tcPr>
                  <w:tcW w:w="228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新增债券</w:t>
                  </w:r>
                </w:p>
              </w:tc>
              <w:tc>
                <w:tcPr>
                  <w:tcW w:w="248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置换债券</w:t>
                  </w:r>
                </w:p>
              </w:tc>
              <w:tc>
                <w:tcPr>
                  <w:tcW w:w="2528" w:type="dxa"/>
                  <w:gridSpan w:val="3"/>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再融资债券</w:t>
                  </w:r>
                </w:p>
              </w:tc>
            </w:tr>
            <w:tr>
              <w:tblPrEx>
                <w:tblCellMar>
                  <w:top w:w="15" w:type="dxa"/>
                  <w:left w:w="15" w:type="dxa"/>
                  <w:bottom w:w="15" w:type="dxa"/>
                  <w:right w:w="15" w:type="dxa"/>
                </w:tblCellMar>
              </w:tblPrEx>
              <w:trPr>
                <w:trHeight w:val="515" w:hRule="atLeast"/>
              </w:trPr>
              <w:tc>
                <w:tcPr>
                  <w:tcW w:w="1370" w:type="dxa"/>
                  <w:gridSpan w:val="2"/>
                  <w:vMerge w:val="continue"/>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b/>
                      <w:color w:val="000000"/>
                      <w:sz w:val="20"/>
                      <w:szCs w:val="20"/>
                    </w:rPr>
                  </w:pP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合计</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一般</w:t>
                  </w:r>
                </w:p>
              </w:tc>
              <w:tc>
                <w:tcPr>
                  <w:tcW w:w="7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专项</w:t>
                  </w:r>
                </w:p>
              </w:tc>
              <w:tc>
                <w:tcPr>
                  <w:tcW w:w="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合计</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一般</w:t>
                  </w: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专项</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合计</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一般</w:t>
                  </w:r>
                </w:p>
              </w:tc>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专项</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合计</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一般</w:t>
                  </w:r>
                </w:p>
              </w:tc>
              <w:tc>
                <w:tcPr>
                  <w:tcW w:w="83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专项</w:t>
                  </w:r>
                </w:p>
              </w:tc>
            </w:tr>
            <w:tr>
              <w:tblPrEx>
                <w:tblCellMar>
                  <w:top w:w="15" w:type="dxa"/>
                  <w:left w:w="15" w:type="dxa"/>
                  <w:bottom w:w="15" w:type="dxa"/>
                  <w:right w:w="15" w:type="dxa"/>
                </w:tblCellMar>
              </w:tblPrEx>
              <w:trPr>
                <w:trHeight w:val="369" w:hRule="atLeast"/>
              </w:trPr>
              <w:tc>
                <w:tcPr>
                  <w:tcW w:w="439" w:type="dxa"/>
                  <w:vMerge w:val="restart"/>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小计</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金额</w:t>
                  </w:r>
                </w:p>
              </w:tc>
              <w:tc>
                <w:tcPr>
                  <w:tcW w:w="6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ascii="宋体" w:hAnsi="宋体" w:eastAsia="宋体" w:cs="宋体"/>
                      <w:i w:val="0"/>
                      <w:iCs w:val="0"/>
                      <w:color w:val="000000"/>
                      <w:kern w:val="0"/>
                      <w:sz w:val="22"/>
                      <w:szCs w:val="22"/>
                      <w:u w:val="none"/>
                      <w:lang w:val="en-US" w:eastAsia="zh-CN" w:bidi="ar"/>
                    </w:rPr>
                    <w:t>7.07</w:t>
                  </w:r>
                </w:p>
              </w:tc>
              <w:tc>
                <w:tcPr>
                  <w:tcW w:w="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ascii="宋体" w:hAnsi="宋体" w:eastAsia="宋体" w:cs="宋体"/>
                      <w:i w:val="0"/>
                      <w:iCs w:val="0"/>
                      <w:color w:val="000000"/>
                      <w:kern w:val="0"/>
                      <w:sz w:val="22"/>
                      <w:szCs w:val="22"/>
                      <w:u w:val="none"/>
                      <w:lang w:val="en-US" w:eastAsia="zh-CN" w:bidi="ar"/>
                    </w:rPr>
                    <w:t>0.57</w:t>
                  </w:r>
                </w:p>
              </w:tc>
              <w:tc>
                <w:tcPr>
                  <w:tcW w:w="7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ascii="宋体" w:hAnsi="宋体" w:eastAsia="宋体" w:cs="宋体"/>
                      <w:i w:val="0"/>
                      <w:iCs w:val="0"/>
                      <w:color w:val="000000"/>
                      <w:kern w:val="0"/>
                      <w:sz w:val="22"/>
                      <w:szCs w:val="22"/>
                      <w:u w:val="none"/>
                      <w:lang w:val="en-US" w:eastAsia="zh-CN" w:bidi="ar"/>
                    </w:rPr>
                    <w:t>6.50</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ascii="宋体" w:hAnsi="宋体" w:eastAsia="宋体" w:cs="宋体"/>
                      <w:i w:val="0"/>
                      <w:iCs w:val="0"/>
                      <w:color w:val="000000"/>
                      <w:kern w:val="0"/>
                      <w:sz w:val="22"/>
                      <w:szCs w:val="22"/>
                      <w:u w:val="none"/>
                      <w:lang w:val="en-US" w:eastAsia="zh-CN" w:bidi="ar"/>
                    </w:rPr>
                    <w:t>6.60</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ascii="宋体" w:hAnsi="宋体" w:eastAsia="宋体" w:cs="宋体"/>
                      <w:i w:val="0"/>
                      <w:iCs w:val="0"/>
                      <w:color w:val="000000"/>
                      <w:kern w:val="0"/>
                      <w:sz w:val="22"/>
                      <w:szCs w:val="22"/>
                      <w:u w:val="none"/>
                      <w:lang w:val="en-US" w:eastAsia="zh-CN" w:bidi="ar"/>
                    </w:rPr>
                    <w:t>0.10</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ascii="宋体" w:hAnsi="宋体" w:eastAsia="宋体" w:cs="宋体"/>
                      <w:i w:val="0"/>
                      <w:iCs w:val="0"/>
                      <w:color w:val="000000"/>
                      <w:kern w:val="0"/>
                      <w:sz w:val="22"/>
                      <w:szCs w:val="22"/>
                      <w:u w:val="none"/>
                      <w:lang w:val="en-US" w:eastAsia="zh-CN" w:bidi="ar"/>
                    </w:rPr>
                    <w:t>6.50</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ascii="宋体" w:hAnsi="宋体" w:eastAsia="宋体" w:cs="宋体"/>
                      <w:i w:val="0"/>
                      <w:iCs w:val="0"/>
                      <w:color w:val="000000"/>
                      <w:kern w:val="0"/>
                      <w:sz w:val="22"/>
                      <w:szCs w:val="22"/>
                      <w:u w:val="none"/>
                      <w:lang w:val="en-US" w:eastAsia="zh-CN" w:bidi="ar"/>
                    </w:rPr>
                    <w:t>0.47</w:t>
                  </w:r>
                </w:p>
              </w:tc>
              <w:tc>
                <w:tcPr>
                  <w:tcW w:w="8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ascii="宋体" w:hAnsi="宋体" w:eastAsia="宋体" w:cs="宋体"/>
                      <w:i w:val="0"/>
                      <w:iCs w:val="0"/>
                      <w:color w:val="000000"/>
                      <w:kern w:val="0"/>
                      <w:sz w:val="22"/>
                      <w:szCs w:val="22"/>
                      <w:u w:val="none"/>
                      <w:lang w:val="en-US" w:eastAsia="zh-CN" w:bidi="ar"/>
                    </w:rPr>
                    <w:t>0.47</w:t>
                  </w:r>
                </w:p>
              </w:tc>
              <w:tc>
                <w:tcPr>
                  <w:tcW w:w="838"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369" w:hRule="atLeast"/>
              </w:trPr>
              <w:tc>
                <w:tcPr>
                  <w:tcW w:w="439"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平均利率%</w:t>
                  </w:r>
                </w:p>
              </w:tc>
              <w:tc>
                <w:tcPr>
                  <w:tcW w:w="6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ascii="宋体" w:hAnsi="宋体" w:eastAsia="宋体" w:cs="宋体"/>
                      <w:i w:val="0"/>
                      <w:iCs w:val="0"/>
                      <w:color w:val="000000"/>
                      <w:kern w:val="0"/>
                      <w:sz w:val="22"/>
                      <w:szCs w:val="22"/>
                      <w:u w:val="none"/>
                      <w:lang w:val="en-US" w:eastAsia="zh-CN" w:bidi="ar"/>
                    </w:rPr>
                    <w:t>3.56</w:t>
                  </w:r>
                </w:p>
              </w:tc>
              <w:tc>
                <w:tcPr>
                  <w:tcW w:w="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ascii="宋体" w:hAnsi="宋体" w:eastAsia="宋体" w:cs="宋体"/>
                      <w:i w:val="0"/>
                      <w:iCs w:val="0"/>
                      <w:color w:val="000000"/>
                      <w:kern w:val="0"/>
                      <w:sz w:val="22"/>
                      <w:szCs w:val="22"/>
                      <w:u w:val="none"/>
                      <w:lang w:val="en-US" w:eastAsia="zh-CN" w:bidi="ar"/>
                    </w:rPr>
                    <w:t>3.29</w:t>
                  </w:r>
                </w:p>
              </w:tc>
              <w:tc>
                <w:tcPr>
                  <w:tcW w:w="7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ascii="宋体" w:hAnsi="宋体" w:eastAsia="宋体" w:cs="宋体"/>
                      <w:i w:val="0"/>
                      <w:iCs w:val="0"/>
                      <w:color w:val="000000"/>
                      <w:kern w:val="0"/>
                      <w:sz w:val="22"/>
                      <w:szCs w:val="22"/>
                      <w:u w:val="none"/>
                      <w:lang w:val="en-US" w:eastAsia="zh-CN" w:bidi="ar"/>
                    </w:rPr>
                    <w:t>3.59</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ascii="宋体" w:hAnsi="宋体" w:eastAsia="宋体" w:cs="宋体"/>
                      <w:i w:val="0"/>
                      <w:iCs w:val="0"/>
                      <w:color w:val="000000"/>
                      <w:kern w:val="0"/>
                      <w:sz w:val="22"/>
                      <w:szCs w:val="22"/>
                      <w:u w:val="none"/>
                      <w:lang w:val="en-US" w:eastAsia="zh-CN" w:bidi="ar"/>
                    </w:rPr>
                    <w:t>3.59</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ascii="宋体" w:hAnsi="宋体" w:eastAsia="宋体" w:cs="宋体"/>
                      <w:i w:val="0"/>
                      <w:iCs w:val="0"/>
                      <w:color w:val="000000"/>
                      <w:kern w:val="0"/>
                      <w:sz w:val="22"/>
                      <w:szCs w:val="22"/>
                      <w:u w:val="none"/>
                      <w:lang w:val="en-US" w:eastAsia="zh-CN" w:bidi="ar"/>
                    </w:rPr>
                    <w:t>3.44</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ascii="宋体" w:hAnsi="宋体" w:eastAsia="宋体" w:cs="宋体"/>
                      <w:i w:val="0"/>
                      <w:iCs w:val="0"/>
                      <w:color w:val="000000"/>
                      <w:kern w:val="0"/>
                      <w:sz w:val="22"/>
                      <w:szCs w:val="22"/>
                      <w:u w:val="none"/>
                      <w:lang w:val="en-US" w:eastAsia="zh-CN" w:bidi="ar"/>
                    </w:rPr>
                    <w:t>3.59</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ascii="宋体" w:hAnsi="宋体" w:eastAsia="宋体" w:cs="宋体"/>
                      <w:i w:val="0"/>
                      <w:iCs w:val="0"/>
                      <w:color w:val="000000"/>
                      <w:kern w:val="0"/>
                      <w:sz w:val="22"/>
                      <w:szCs w:val="22"/>
                      <w:u w:val="none"/>
                      <w:lang w:val="en-US" w:eastAsia="zh-CN" w:bidi="ar"/>
                    </w:rPr>
                    <w:t>3.26</w:t>
                  </w:r>
                </w:p>
              </w:tc>
              <w:tc>
                <w:tcPr>
                  <w:tcW w:w="8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ascii="宋体" w:hAnsi="宋体" w:eastAsia="宋体" w:cs="宋体"/>
                      <w:i w:val="0"/>
                      <w:iCs w:val="0"/>
                      <w:color w:val="000000"/>
                      <w:kern w:val="0"/>
                      <w:sz w:val="22"/>
                      <w:szCs w:val="22"/>
                      <w:u w:val="none"/>
                      <w:lang w:val="en-US" w:eastAsia="zh-CN" w:bidi="ar"/>
                    </w:rPr>
                    <w:t>3.26</w:t>
                  </w:r>
                </w:p>
              </w:tc>
              <w:tc>
                <w:tcPr>
                  <w:tcW w:w="838"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369" w:hRule="atLeast"/>
              </w:trPr>
              <w:tc>
                <w:tcPr>
                  <w:tcW w:w="439" w:type="dxa"/>
                  <w:vMerge w:val="restart"/>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1年</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金额</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9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15" w:type="dxa"/>
                  <w:left w:w="15" w:type="dxa"/>
                  <w:bottom w:w="15" w:type="dxa"/>
                  <w:right w:w="15" w:type="dxa"/>
                </w:tblCellMar>
              </w:tblPrEx>
              <w:trPr>
                <w:trHeight w:val="369" w:hRule="atLeast"/>
              </w:trPr>
              <w:tc>
                <w:tcPr>
                  <w:tcW w:w="439"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平均利率%</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92"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15" w:type="dxa"/>
                  <w:left w:w="15" w:type="dxa"/>
                  <w:bottom w:w="15" w:type="dxa"/>
                  <w:right w:w="15" w:type="dxa"/>
                </w:tblCellMar>
              </w:tblPrEx>
              <w:trPr>
                <w:trHeight w:val="369" w:hRule="atLeast"/>
              </w:trPr>
              <w:tc>
                <w:tcPr>
                  <w:tcW w:w="439" w:type="dxa"/>
                  <w:vMerge w:val="restart"/>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2年</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金额</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15" w:type="dxa"/>
                  <w:left w:w="15" w:type="dxa"/>
                  <w:bottom w:w="15" w:type="dxa"/>
                  <w:right w:w="15" w:type="dxa"/>
                </w:tblCellMar>
              </w:tblPrEx>
              <w:trPr>
                <w:trHeight w:val="369" w:hRule="atLeast"/>
              </w:trPr>
              <w:tc>
                <w:tcPr>
                  <w:tcW w:w="439"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平均利率%</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15" w:type="dxa"/>
                  <w:left w:w="15" w:type="dxa"/>
                  <w:bottom w:w="15" w:type="dxa"/>
                  <w:right w:w="15" w:type="dxa"/>
                </w:tblCellMar>
              </w:tblPrEx>
              <w:trPr>
                <w:trHeight w:val="369" w:hRule="atLeast"/>
              </w:trPr>
              <w:tc>
                <w:tcPr>
                  <w:tcW w:w="439" w:type="dxa"/>
                  <w:vMerge w:val="restart"/>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3年</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金额</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15" w:type="dxa"/>
                  <w:left w:w="15" w:type="dxa"/>
                  <w:bottom w:w="15" w:type="dxa"/>
                  <w:right w:w="15" w:type="dxa"/>
                </w:tblCellMar>
              </w:tblPrEx>
              <w:trPr>
                <w:trHeight w:val="369" w:hRule="atLeast"/>
              </w:trPr>
              <w:tc>
                <w:tcPr>
                  <w:tcW w:w="439"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平均利率%</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15" w:type="dxa"/>
                  <w:left w:w="15" w:type="dxa"/>
                  <w:bottom w:w="15" w:type="dxa"/>
                  <w:right w:w="15" w:type="dxa"/>
                </w:tblCellMar>
              </w:tblPrEx>
              <w:trPr>
                <w:trHeight w:val="369" w:hRule="atLeast"/>
              </w:trPr>
              <w:tc>
                <w:tcPr>
                  <w:tcW w:w="439" w:type="dxa"/>
                  <w:vMerge w:val="restart"/>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5年</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金额</w:t>
                  </w:r>
                </w:p>
              </w:tc>
              <w:tc>
                <w:tcPr>
                  <w:tcW w:w="6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ascii="宋体" w:hAnsi="宋体" w:eastAsia="宋体" w:cs="宋体"/>
                      <w:i w:val="0"/>
                      <w:iCs w:val="0"/>
                      <w:color w:val="000000"/>
                      <w:kern w:val="0"/>
                      <w:sz w:val="22"/>
                      <w:szCs w:val="22"/>
                      <w:u w:val="none"/>
                      <w:lang w:val="en-US" w:eastAsia="zh-CN" w:bidi="ar"/>
                    </w:rPr>
                    <w:t>0.47</w:t>
                  </w:r>
                </w:p>
              </w:tc>
              <w:tc>
                <w:tcPr>
                  <w:tcW w:w="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ascii="宋体" w:hAnsi="宋体" w:eastAsia="宋体" w:cs="宋体"/>
                      <w:i w:val="0"/>
                      <w:iCs w:val="0"/>
                      <w:color w:val="000000"/>
                      <w:kern w:val="0"/>
                      <w:sz w:val="22"/>
                      <w:szCs w:val="22"/>
                      <w:u w:val="none"/>
                      <w:lang w:val="en-US" w:eastAsia="zh-CN" w:bidi="ar"/>
                    </w:rPr>
                    <w:t>0.47</w:t>
                  </w:r>
                </w:p>
              </w:tc>
              <w:tc>
                <w:tcPr>
                  <w:tcW w:w="7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ascii="宋体" w:hAnsi="宋体" w:eastAsia="宋体" w:cs="宋体"/>
                      <w:i w:val="0"/>
                      <w:iCs w:val="0"/>
                      <w:color w:val="000000"/>
                      <w:kern w:val="0"/>
                      <w:sz w:val="22"/>
                      <w:szCs w:val="22"/>
                      <w:u w:val="none"/>
                      <w:lang w:val="en-US" w:eastAsia="zh-CN" w:bidi="ar"/>
                    </w:rPr>
                    <w:t>0.47</w:t>
                  </w:r>
                </w:p>
              </w:tc>
              <w:tc>
                <w:tcPr>
                  <w:tcW w:w="8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ascii="宋体" w:hAnsi="宋体" w:eastAsia="宋体" w:cs="宋体"/>
                      <w:i w:val="0"/>
                      <w:iCs w:val="0"/>
                      <w:color w:val="000000"/>
                      <w:kern w:val="0"/>
                      <w:sz w:val="22"/>
                      <w:szCs w:val="22"/>
                      <w:u w:val="none"/>
                      <w:lang w:val="en-US" w:eastAsia="zh-CN" w:bidi="ar"/>
                    </w:rPr>
                    <w:t>0.47</w:t>
                  </w:r>
                </w:p>
              </w:tc>
              <w:tc>
                <w:tcPr>
                  <w:tcW w:w="83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15" w:type="dxa"/>
                  <w:left w:w="15" w:type="dxa"/>
                  <w:bottom w:w="15" w:type="dxa"/>
                  <w:right w:w="15" w:type="dxa"/>
                </w:tblCellMar>
              </w:tblPrEx>
              <w:trPr>
                <w:trHeight w:val="369" w:hRule="atLeast"/>
              </w:trPr>
              <w:tc>
                <w:tcPr>
                  <w:tcW w:w="439"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平均利率%</w:t>
                  </w:r>
                </w:p>
              </w:tc>
              <w:tc>
                <w:tcPr>
                  <w:tcW w:w="6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ascii="宋体" w:hAnsi="宋体" w:eastAsia="宋体" w:cs="宋体"/>
                      <w:i w:val="0"/>
                      <w:iCs w:val="0"/>
                      <w:color w:val="000000"/>
                      <w:kern w:val="0"/>
                      <w:sz w:val="22"/>
                      <w:szCs w:val="22"/>
                      <w:u w:val="none"/>
                      <w:lang w:val="en-US" w:eastAsia="zh-CN" w:bidi="ar"/>
                    </w:rPr>
                    <w:t>3.26</w:t>
                  </w:r>
                </w:p>
              </w:tc>
              <w:tc>
                <w:tcPr>
                  <w:tcW w:w="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ascii="宋体" w:hAnsi="宋体" w:eastAsia="宋体" w:cs="宋体"/>
                      <w:i w:val="0"/>
                      <w:iCs w:val="0"/>
                      <w:color w:val="000000"/>
                      <w:kern w:val="0"/>
                      <w:sz w:val="22"/>
                      <w:szCs w:val="22"/>
                      <w:u w:val="none"/>
                      <w:lang w:val="en-US" w:eastAsia="zh-CN" w:bidi="ar"/>
                    </w:rPr>
                    <w:t>3.26</w:t>
                  </w:r>
                </w:p>
              </w:tc>
              <w:tc>
                <w:tcPr>
                  <w:tcW w:w="7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ascii="宋体" w:hAnsi="宋体" w:eastAsia="宋体" w:cs="宋体"/>
                      <w:i w:val="0"/>
                      <w:iCs w:val="0"/>
                      <w:color w:val="000000"/>
                      <w:kern w:val="0"/>
                      <w:sz w:val="22"/>
                      <w:szCs w:val="22"/>
                      <w:u w:val="none"/>
                      <w:lang w:val="en-US" w:eastAsia="zh-CN" w:bidi="ar"/>
                    </w:rPr>
                    <w:t>3.26</w:t>
                  </w:r>
                </w:p>
              </w:tc>
              <w:tc>
                <w:tcPr>
                  <w:tcW w:w="8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ascii="宋体" w:hAnsi="宋体" w:eastAsia="宋体" w:cs="宋体"/>
                      <w:i w:val="0"/>
                      <w:iCs w:val="0"/>
                      <w:color w:val="000000"/>
                      <w:kern w:val="0"/>
                      <w:sz w:val="22"/>
                      <w:szCs w:val="22"/>
                      <w:u w:val="none"/>
                      <w:lang w:val="en-US" w:eastAsia="zh-CN" w:bidi="ar"/>
                    </w:rPr>
                    <w:t>3.26</w:t>
                  </w:r>
                </w:p>
              </w:tc>
              <w:tc>
                <w:tcPr>
                  <w:tcW w:w="83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15" w:type="dxa"/>
                  <w:left w:w="15" w:type="dxa"/>
                  <w:bottom w:w="15" w:type="dxa"/>
                  <w:right w:w="15" w:type="dxa"/>
                </w:tblCellMar>
              </w:tblPrEx>
              <w:trPr>
                <w:trHeight w:val="369" w:hRule="atLeast"/>
              </w:trPr>
              <w:tc>
                <w:tcPr>
                  <w:tcW w:w="439" w:type="dxa"/>
                  <w:vMerge w:val="restart"/>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7年</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金额</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15" w:type="dxa"/>
                  <w:left w:w="15" w:type="dxa"/>
                  <w:bottom w:w="15" w:type="dxa"/>
                  <w:right w:w="15" w:type="dxa"/>
                </w:tblCellMar>
              </w:tblPrEx>
              <w:trPr>
                <w:trHeight w:val="369" w:hRule="atLeast"/>
              </w:trPr>
              <w:tc>
                <w:tcPr>
                  <w:tcW w:w="439"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平均利率%</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15" w:type="dxa"/>
                  <w:left w:w="15" w:type="dxa"/>
                  <w:bottom w:w="15" w:type="dxa"/>
                  <w:right w:w="15" w:type="dxa"/>
                </w:tblCellMar>
              </w:tblPrEx>
              <w:trPr>
                <w:trHeight w:val="369" w:hRule="atLeast"/>
              </w:trPr>
              <w:tc>
                <w:tcPr>
                  <w:tcW w:w="439" w:type="dxa"/>
                  <w:vMerge w:val="restart"/>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10年</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金额</w:t>
                  </w:r>
                </w:p>
              </w:tc>
              <w:tc>
                <w:tcPr>
                  <w:tcW w:w="6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ascii="宋体" w:hAnsi="宋体" w:eastAsia="宋体" w:cs="宋体"/>
                      <w:i w:val="0"/>
                      <w:iCs w:val="0"/>
                      <w:color w:val="000000"/>
                      <w:kern w:val="0"/>
                      <w:sz w:val="22"/>
                      <w:szCs w:val="22"/>
                      <w:u w:val="none"/>
                      <w:lang w:val="en-US" w:eastAsia="zh-CN" w:bidi="ar"/>
                    </w:rPr>
                    <w:t>3.10</w:t>
                  </w:r>
                </w:p>
              </w:tc>
              <w:tc>
                <w:tcPr>
                  <w:tcW w:w="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ascii="宋体" w:hAnsi="宋体" w:eastAsia="宋体" w:cs="宋体"/>
                      <w:i w:val="0"/>
                      <w:iCs w:val="0"/>
                      <w:color w:val="000000"/>
                      <w:kern w:val="0"/>
                      <w:sz w:val="22"/>
                      <w:szCs w:val="22"/>
                      <w:u w:val="none"/>
                      <w:lang w:val="en-US" w:eastAsia="zh-CN" w:bidi="ar"/>
                    </w:rPr>
                    <w:t>0.10</w:t>
                  </w:r>
                </w:p>
              </w:tc>
              <w:tc>
                <w:tcPr>
                  <w:tcW w:w="7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ascii="宋体" w:hAnsi="宋体" w:eastAsia="宋体" w:cs="宋体"/>
                      <w:i w:val="0"/>
                      <w:iCs w:val="0"/>
                      <w:color w:val="000000"/>
                      <w:kern w:val="0"/>
                      <w:sz w:val="22"/>
                      <w:szCs w:val="22"/>
                      <w:u w:val="none"/>
                      <w:lang w:val="en-US" w:eastAsia="zh-CN" w:bidi="ar"/>
                    </w:rPr>
                    <w:t>3.00</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ascii="宋体" w:hAnsi="宋体" w:eastAsia="宋体" w:cs="宋体"/>
                      <w:i w:val="0"/>
                      <w:iCs w:val="0"/>
                      <w:color w:val="000000"/>
                      <w:kern w:val="0"/>
                      <w:sz w:val="22"/>
                      <w:szCs w:val="22"/>
                      <w:u w:val="none"/>
                      <w:lang w:val="en-US" w:eastAsia="zh-CN" w:bidi="ar"/>
                    </w:rPr>
                    <w:t>3.10</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ascii="宋体" w:hAnsi="宋体" w:eastAsia="宋体" w:cs="宋体"/>
                      <w:i w:val="0"/>
                      <w:iCs w:val="0"/>
                      <w:color w:val="000000"/>
                      <w:kern w:val="0"/>
                      <w:sz w:val="22"/>
                      <w:szCs w:val="22"/>
                      <w:u w:val="none"/>
                      <w:lang w:val="en-US" w:eastAsia="zh-CN" w:bidi="ar"/>
                    </w:rPr>
                    <w:t>0.10</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ascii="宋体" w:hAnsi="宋体" w:eastAsia="宋体" w:cs="宋体"/>
                      <w:i w:val="0"/>
                      <w:iCs w:val="0"/>
                      <w:color w:val="000000"/>
                      <w:kern w:val="0"/>
                      <w:sz w:val="22"/>
                      <w:szCs w:val="22"/>
                      <w:u w:val="none"/>
                      <w:lang w:val="en-US" w:eastAsia="zh-CN" w:bidi="ar"/>
                    </w:rPr>
                    <w:t>3.00</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15" w:type="dxa"/>
                  <w:left w:w="15" w:type="dxa"/>
                  <w:bottom w:w="15" w:type="dxa"/>
                  <w:right w:w="15" w:type="dxa"/>
                </w:tblCellMar>
              </w:tblPrEx>
              <w:trPr>
                <w:trHeight w:val="369" w:hRule="atLeast"/>
              </w:trPr>
              <w:tc>
                <w:tcPr>
                  <w:tcW w:w="439"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平均利率%</w:t>
                  </w:r>
                </w:p>
              </w:tc>
              <w:tc>
                <w:tcPr>
                  <w:tcW w:w="6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ascii="宋体" w:hAnsi="宋体" w:eastAsia="宋体" w:cs="宋体"/>
                      <w:i w:val="0"/>
                      <w:iCs w:val="0"/>
                      <w:color w:val="000000"/>
                      <w:kern w:val="0"/>
                      <w:sz w:val="22"/>
                      <w:szCs w:val="22"/>
                      <w:u w:val="none"/>
                      <w:lang w:val="en-US" w:eastAsia="zh-CN" w:bidi="ar"/>
                    </w:rPr>
                    <w:t>3.35</w:t>
                  </w:r>
                </w:p>
              </w:tc>
              <w:tc>
                <w:tcPr>
                  <w:tcW w:w="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ascii="宋体" w:hAnsi="宋体" w:eastAsia="宋体" w:cs="宋体"/>
                      <w:i w:val="0"/>
                      <w:iCs w:val="0"/>
                      <w:color w:val="000000"/>
                      <w:kern w:val="0"/>
                      <w:sz w:val="22"/>
                      <w:szCs w:val="22"/>
                      <w:u w:val="none"/>
                      <w:lang w:val="en-US" w:eastAsia="zh-CN" w:bidi="ar"/>
                    </w:rPr>
                    <w:t>3.44</w:t>
                  </w:r>
                </w:p>
              </w:tc>
              <w:tc>
                <w:tcPr>
                  <w:tcW w:w="7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ascii="宋体" w:hAnsi="宋体" w:eastAsia="宋体" w:cs="宋体"/>
                      <w:i w:val="0"/>
                      <w:iCs w:val="0"/>
                      <w:color w:val="000000"/>
                      <w:kern w:val="0"/>
                      <w:sz w:val="22"/>
                      <w:szCs w:val="22"/>
                      <w:u w:val="none"/>
                      <w:lang w:val="en-US" w:eastAsia="zh-CN" w:bidi="ar"/>
                    </w:rPr>
                    <w:t>3.35</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ascii="宋体" w:hAnsi="宋体" w:eastAsia="宋体" w:cs="宋体"/>
                      <w:i w:val="0"/>
                      <w:iCs w:val="0"/>
                      <w:color w:val="000000"/>
                      <w:kern w:val="0"/>
                      <w:sz w:val="22"/>
                      <w:szCs w:val="22"/>
                      <w:u w:val="none"/>
                      <w:lang w:val="en-US" w:eastAsia="zh-CN" w:bidi="ar"/>
                    </w:rPr>
                    <w:t>3.35</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ascii="宋体" w:hAnsi="宋体" w:eastAsia="宋体" w:cs="宋体"/>
                      <w:i w:val="0"/>
                      <w:iCs w:val="0"/>
                      <w:color w:val="000000"/>
                      <w:kern w:val="0"/>
                      <w:sz w:val="22"/>
                      <w:szCs w:val="22"/>
                      <w:u w:val="none"/>
                      <w:lang w:val="en-US" w:eastAsia="zh-CN" w:bidi="ar"/>
                    </w:rPr>
                    <w:t>3.44</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ascii="宋体" w:hAnsi="宋体" w:eastAsia="宋体" w:cs="宋体"/>
                      <w:i w:val="0"/>
                      <w:iCs w:val="0"/>
                      <w:color w:val="000000"/>
                      <w:kern w:val="0"/>
                      <w:sz w:val="22"/>
                      <w:szCs w:val="22"/>
                      <w:u w:val="none"/>
                      <w:lang w:val="en-US" w:eastAsia="zh-CN" w:bidi="ar"/>
                    </w:rPr>
                    <w:t>3.35</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15" w:type="dxa"/>
                  <w:left w:w="15" w:type="dxa"/>
                  <w:bottom w:w="15" w:type="dxa"/>
                  <w:right w:w="15" w:type="dxa"/>
                </w:tblCellMar>
              </w:tblPrEx>
              <w:trPr>
                <w:trHeight w:val="369" w:hRule="atLeast"/>
              </w:trPr>
              <w:tc>
                <w:tcPr>
                  <w:tcW w:w="439" w:type="dxa"/>
                  <w:vMerge w:val="restart"/>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15年</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金额</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15" w:type="dxa"/>
                  <w:left w:w="15" w:type="dxa"/>
                  <w:bottom w:w="15" w:type="dxa"/>
                  <w:right w:w="15" w:type="dxa"/>
                </w:tblCellMar>
              </w:tblPrEx>
              <w:trPr>
                <w:trHeight w:val="369" w:hRule="atLeast"/>
              </w:trPr>
              <w:tc>
                <w:tcPr>
                  <w:tcW w:w="439"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平均利率%</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15" w:type="dxa"/>
                  <w:left w:w="15" w:type="dxa"/>
                  <w:bottom w:w="15" w:type="dxa"/>
                  <w:right w:w="15" w:type="dxa"/>
                </w:tblCellMar>
              </w:tblPrEx>
              <w:trPr>
                <w:trHeight w:val="369" w:hRule="atLeast"/>
              </w:trPr>
              <w:tc>
                <w:tcPr>
                  <w:tcW w:w="439" w:type="dxa"/>
                  <w:vMerge w:val="restart"/>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20年</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金额</w:t>
                  </w:r>
                </w:p>
              </w:tc>
              <w:tc>
                <w:tcPr>
                  <w:tcW w:w="6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ascii="宋体" w:hAnsi="宋体" w:eastAsia="宋体" w:cs="宋体"/>
                      <w:i w:val="0"/>
                      <w:iCs w:val="0"/>
                      <w:color w:val="000000"/>
                      <w:kern w:val="0"/>
                      <w:sz w:val="22"/>
                      <w:szCs w:val="22"/>
                      <w:u w:val="none"/>
                      <w:lang w:val="en-US" w:eastAsia="zh-CN" w:bidi="ar"/>
                    </w:rPr>
                    <w:t>3.50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ascii="宋体" w:hAnsi="宋体" w:eastAsia="宋体" w:cs="宋体"/>
                      <w:i w:val="0"/>
                      <w:iCs w:val="0"/>
                      <w:color w:val="000000"/>
                      <w:kern w:val="0"/>
                      <w:sz w:val="22"/>
                      <w:szCs w:val="22"/>
                      <w:u w:val="none"/>
                      <w:lang w:val="en-US" w:eastAsia="zh-CN" w:bidi="ar"/>
                    </w:rPr>
                    <w:t>3.50</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ascii="宋体" w:hAnsi="宋体" w:eastAsia="宋体" w:cs="宋体"/>
                      <w:i w:val="0"/>
                      <w:iCs w:val="0"/>
                      <w:color w:val="000000"/>
                      <w:kern w:val="0"/>
                      <w:sz w:val="22"/>
                      <w:szCs w:val="22"/>
                      <w:u w:val="none"/>
                      <w:lang w:val="en-US" w:eastAsia="zh-CN" w:bidi="ar"/>
                    </w:rPr>
                    <w:t>3.50</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ascii="宋体" w:hAnsi="宋体" w:eastAsia="宋体" w:cs="宋体"/>
                      <w:i w:val="0"/>
                      <w:iCs w:val="0"/>
                      <w:color w:val="000000"/>
                      <w:kern w:val="0"/>
                      <w:sz w:val="22"/>
                      <w:szCs w:val="22"/>
                      <w:u w:val="none"/>
                      <w:lang w:val="en-US" w:eastAsia="zh-CN" w:bidi="ar"/>
                    </w:rPr>
                    <w:t>3.50</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15" w:type="dxa"/>
                  <w:left w:w="15" w:type="dxa"/>
                  <w:bottom w:w="15" w:type="dxa"/>
                  <w:right w:w="15" w:type="dxa"/>
                </w:tblCellMar>
              </w:tblPrEx>
              <w:trPr>
                <w:trHeight w:val="369" w:hRule="atLeast"/>
              </w:trPr>
              <w:tc>
                <w:tcPr>
                  <w:tcW w:w="439"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平均利率%</w:t>
                  </w:r>
                </w:p>
              </w:tc>
              <w:tc>
                <w:tcPr>
                  <w:tcW w:w="6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ascii="宋体" w:hAnsi="宋体" w:eastAsia="宋体" w:cs="宋体"/>
                      <w:i w:val="0"/>
                      <w:iCs w:val="0"/>
                      <w:color w:val="000000"/>
                      <w:kern w:val="0"/>
                      <w:sz w:val="22"/>
                      <w:szCs w:val="22"/>
                      <w:u w:val="none"/>
                      <w:lang w:val="en-US" w:eastAsia="zh-CN" w:bidi="ar"/>
                    </w:rPr>
                    <w:t>3.80</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ascii="宋体" w:hAnsi="宋体" w:eastAsia="宋体" w:cs="宋体"/>
                      <w:i w:val="0"/>
                      <w:iCs w:val="0"/>
                      <w:color w:val="000000"/>
                      <w:kern w:val="0"/>
                      <w:sz w:val="22"/>
                      <w:szCs w:val="22"/>
                      <w:u w:val="none"/>
                      <w:lang w:val="en-US" w:eastAsia="zh-CN" w:bidi="ar"/>
                    </w:rPr>
                    <w:t>3.80</w:t>
                  </w:r>
                </w:p>
              </w:tc>
              <w:tc>
                <w:tcPr>
                  <w:tcW w:w="7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ascii="宋体" w:hAnsi="宋体" w:eastAsia="宋体" w:cs="宋体"/>
                      <w:i w:val="0"/>
                      <w:iCs w:val="0"/>
                      <w:color w:val="000000"/>
                      <w:kern w:val="0"/>
                      <w:sz w:val="22"/>
                      <w:szCs w:val="22"/>
                      <w:u w:val="none"/>
                      <w:lang w:val="en-US" w:eastAsia="zh-CN" w:bidi="ar"/>
                    </w:rPr>
                    <w:t>3.80</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ascii="宋体" w:hAnsi="宋体" w:eastAsia="宋体" w:cs="宋体"/>
                      <w:i w:val="0"/>
                      <w:iCs w:val="0"/>
                      <w:color w:val="000000"/>
                      <w:kern w:val="0"/>
                      <w:sz w:val="22"/>
                      <w:szCs w:val="22"/>
                      <w:u w:val="none"/>
                      <w:lang w:val="en-US" w:eastAsia="zh-CN" w:bidi="ar"/>
                    </w:rPr>
                    <w:t>3.80</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15" w:type="dxa"/>
                  <w:left w:w="15" w:type="dxa"/>
                  <w:bottom w:w="15" w:type="dxa"/>
                  <w:right w:w="15" w:type="dxa"/>
                </w:tblCellMar>
              </w:tblPrEx>
              <w:trPr>
                <w:trHeight w:val="369" w:hRule="atLeast"/>
              </w:trPr>
              <w:tc>
                <w:tcPr>
                  <w:tcW w:w="439" w:type="dxa"/>
                  <w:vMerge w:val="restart"/>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25年</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金额</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15" w:type="dxa"/>
                  <w:left w:w="15" w:type="dxa"/>
                  <w:bottom w:w="15" w:type="dxa"/>
                  <w:right w:w="15" w:type="dxa"/>
                </w:tblCellMar>
              </w:tblPrEx>
              <w:trPr>
                <w:trHeight w:val="369" w:hRule="atLeast"/>
              </w:trPr>
              <w:tc>
                <w:tcPr>
                  <w:tcW w:w="439"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平均利率%</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15" w:type="dxa"/>
                  <w:left w:w="15" w:type="dxa"/>
                  <w:bottom w:w="15" w:type="dxa"/>
                  <w:right w:w="15" w:type="dxa"/>
                </w:tblCellMar>
              </w:tblPrEx>
              <w:trPr>
                <w:trHeight w:val="369" w:hRule="atLeast"/>
              </w:trPr>
              <w:tc>
                <w:tcPr>
                  <w:tcW w:w="439" w:type="dxa"/>
                  <w:vMerge w:val="restart"/>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30年</w:t>
                  </w: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金额</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r>
              <w:tblPrEx>
                <w:tblCellMar>
                  <w:top w:w="15" w:type="dxa"/>
                  <w:left w:w="15" w:type="dxa"/>
                  <w:bottom w:w="15" w:type="dxa"/>
                  <w:right w:w="15" w:type="dxa"/>
                </w:tblCellMar>
              </w:tblPrEx>
              <w:trPr>
                <w:trHeight w:val="379" w:hRule="atLeast"/>
              </w:trPr>
              <w:tc>
                <w:tcPr>
                  <w:tcW w:w="439"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ascii="宋体" w:hAnsi="宋体" w:cs="宋体"/>
                      <w:color w:val="000000"/>
                      <w:kern w:val="0"/>
                      <w:sz w:val="20"/>
                      <w:szCs w:val="20"/>
                      <w:lang w:bidi="ar"/>
                    </w:rPr>
                    <w:t>平均利率%</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83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r>
          </w:tbl>
          <w:p>
            <w:pPr>
              <w:ind w:right="400" w:firstLine="8100" w:firstLineChars="4050"/>
              <w:jc w:val="left"/>
              <w:rPr>
                <w:rFonts w:ascii="宋体" w:hAnsi="宋体" w:cs="宋体"/>
                <w:color w:val="000000"/>
                <w:sz w:val="20"/>
                <w:szCs w:val="20"/>
              </w:rPr>
            </w:pPr>
          </w:p>
        </w:tc>
        <w:tc>
          <w:tcPr>
            <w:tcW w:w="1996" w:type="dxa"/>
            <w:vAlign w:val="center"/>
          </w:tcPr>
          <w:p>
            <w:pPr>
              <w:rPr>
                <w:rFonts w:ascii="宋体" w:hAnsi="宋体" w:cs="宋体"/>
                <w:color w:val="000000"/>
                <w:sz w:val="20"/>
                <w:szCs w:val="20"/>
              </w:rPr>
            </w:pPr>
          </w:p>
        </w:tc>
        <w:tc>
          <w:tcPr>
            <w:tcW w:w="1996" w:type="dxa"/>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单位：亿元</w:t>
            </w:r>
          </w:p>
        </w:tc>
      </w:tr>
    </w:tbl>
    <w:p>
      <w:pPr>
        <w:widowControl/>
        <w:textAlignment w:val="center"/>
        <w:rPr>
          <w:rFonts w:ascii="宋体" w:hAnsi="宋体" w:cs="宋体"/>
          <w:color w:val="000000"/>
          <w:kern w:val="0"/>
          <w:sz w:val="20"/>
          <w:szCs w:val="20"/>
          <w:lang w:bidi="ar"/>
        </w:rPr>
      </w:pPr>
    </w:p>
    <w:tbl>
      <w:tblPr>
        <w:tblStyle w:val="5"/>
        <w:tblpPr w:leftFromText="180" w:rightFromText="180" w:vertAnchor="text" w:horzAnchor="page" w:tblpX="839" w:tblpY="551"/>
        <w:tblOverlap w:val="never"/>
        <w:tblW w:w="10245" w:type="dxa"/>
        <w:tblInd w:w="0" w:type="dxa"/>
        <w:tblLayout w:type="fixed"/>
        <w:tblCellMar>
          <w:top w:w="0" w:type="dxa"/>
          <w:left w:w="0" w:type="dxa"/>
          <w:bottom w:w="0" w:type="dxa"/>
          <w:right w:w="0" w:type="dxa"/>
        </w:tblCellMar>
      </w:tblPr>
      <w:tblGrid>
        <w:gridCol w:w="495"/>
        <w:gridCol w:w="1050"/>
        <w:gridCol w:w="1740"/>
        <w:gridCol w:w="2865"/>
        <w:gridCol w:w="1785"/>
        <w:gridCol w:w="915"/>
        <w:gridCol w:w="705"/>
        <w:gridCol w:w="690"/>
      </w:tblGrid>
      <w:tr>
        <w:tblPrEx>
          <w:tblCellMar>
            <w:top w:w="0" w:type="dxa"/>
            <w:left w:w="0" w:type="dxa"/>
            <w:bottom w:w="0" w:type="dxa"/>
            <w:right w:w="0" w:type="dxa"/>
          </w:tblCellMar>
        </w:tblPrEx>
        <w:trPr>
          <w:trHeight w:val="289" w:hRule="atLeast"/>
        </w:trPr>
        <w:tc>
          <w:tcPr>
            <w:tcW w:w="10245" w:type="dxa"/>
            <w:gridSpan w:val="8"/>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p>
          <w:p>
            <w:pPr>
              <w:widowControl/>
              <w:jc w:val="left"/>
              <w:textAlignment w:val="center"/>
              <w:rPr>
                <w:rFonts w:hint="eastAsia" w:ascii="宋体" w:hAnsi="宋体" w:cs="宋体"/>
                <w:color w:val="000000"/>
                <w:kern w:val="0"/>
                <w:sz w:val="20"/>
                <w:szCs w:val="20"/>
                <w:lang w:bidi="ar"/>
              </w:rPr>
            </w:pPr>
          </w:p>
          <w:p>
            <w:pPr>
              <w:widowControl/>
              <w:jc w:val="left"/>
              <w:textAlignment w:val="center"/>
              <w:rPr>
                <w:rFonts w:hint="eastAsia" w:ascii="宋体" w:hAnsi="宋体" w:cs="宋体"/>
                <w:color w:val="000000"/>
                <w:kern w:val="0"/>
                <w:sz w:val="20"/>
                <w:szCs w:val="20"/>
                <w:lang w:bidi="ar"/>
              </w:rPr>
            </w:pPr>
          </w:p>
          <w:p>
            <w:pPr>
              <w:widowControl/>
              <w:jc w:val="left"/>
              <w:textAlignment w:val="center"/>
              <w:rPr>
                <w:rFonts w:hint="eastAsia" w:ascii="宋体" w:hAnsi="宋体" w:cs="宋体"/>
                <w:color w:val="000000"/>
                <w:kern w:val="0"/>
                <w:sz w:val="20"/>
                <w:szCs w:val="20"/>
                <w:lang w:bidi="ar"/>
              </w:rPr>
            </w:pPr>
          </w:p>
          <w:p>
            <w:pPr>
              <w:widowControl/>
              <w:jc w:val="left"/>
              <w:textAlignment w:val="center"/>
              <w:rPr>
                <w:rFonts w:hint="eastAsia" w:ascii="宋体" w:hAnsi="宋体" w:cs="宋体"/>
                <w:color w:val="000000"/>
                <w:kern w:val="0"/>
                <w:sz w:val="20"/>
                <w:szCs w:val="20"/>
                <w:lang w:bidi="ar"/>
              </w:rPr>
            </w:pPr>
          </w:p>
          <w:p>
            <w:pPr>
              <w:widowControl/>
              <w:jc w:val="left"/>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bidi="ar"/>
              </w:rPr>
              <w:t>表</w:t>
            </w:r>
            <w:r>
              <w:rPr>
                <w:rFonts w:hint="eastAsia" w:ascii="宋体" w:hAnsi="宋体" w:cs="宋体"/>
                <w:color w:val="000000"/>
                <w:kern w:val="0"/>
                <w:sz w:val="20"/>
                <w:szCs w:val="20"/>
                <w:lang w:val="en-US" w:eastAsia="zh-CN" w:bidi="ar"/>
              </w:rPr>
              <w:t>16</w:t>
            </w:r>
          </w:p>
        </w:tc>
      </w:tr>
      <w:tr>
        <w:tblPrEx>
          <w:tblCellMar>
            <w:top w:w="0" w:type="dxa"/>
            <w:left w:w="0" w:type="dxa"/>
            <w:bottom w:w="0" w:type="dxa"/>
            <w:right w:w="0" w:type="dxa"/>
          </w:tblCellMar>
        </w:tblPrEx>
        <w:trPr>
          <w:trHeight w:val="518" w:hRule="atLeast"/>
        </w:trPr>
        <w:tc>
          <w:tcPr>
            <w:tcW w:w="10245" w:type="dxa"/>
            <w:gridSpan w:val="8"/>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cs="Calibri"/>
                <w:b/>
                <w:color w:val="000000"/>
                <w:sz w:val="20"/>
                <w:szCs w:val="20"/>
              </w:rPr>
            </w:pPr>
            <w:r>
              <w:rPr>
                <w:rFonts w:cs="Calibri"/>
                <w:b/>
                <w:color w:val="000000"/>
                <w:kern w:val="0"/>
                <w:sz w:val="20"/>
                <w:szCs w:val="20"/>
                <w:lang w:bidi="ar"/>
              </w:rPr>
              <w:t>2021年</w:t>
            </w:r>
            <w:r>
              <w:rPr>
                <w:rFonts w:hint="eastAsia" w:cs="Calibri"/>
                <w:b/>
                <w:color w:val="000000"/>
                <w:kern w:val="0"/>
                <w:sz w:val="20"/>
                <w:szCs w:val="20"/>
                <w:lang w:val="en-US" w:eastAsia="zh-CN" w:bidi="ar"/>
              </w:rPr>
              <w:t>准东开发区</w:t>
            </w:r>
            <w:r>
              <w:rPr>
                <w:rFonts w:cs="Calibri"/>
                <w:b/>
                <w:color w:val="000000"/>
                <w:kern w:val="0"/>
                <w:sz w:val="20"/>
                <w:szCs w:val="20"/>
                <w:lang w:bidi="ar"/>
              </w:rPr>
              <w:t>新增债券使用情况表</w:t>
            </w:r>
          </w:p>
        </w:tc>
      </w:tr>
      <w:tr>
        <w:tblPrEx>
          <w:tblCellMar>
            <w:top w:w="0" w:type="dxa"/>
            <w:left w:w="0" w:type="dxa"/>
            <w:bottom w:w="0" w:type="dxa"/>
            <w:right w:w="0" w:type="dxa"/>
          </w:tblCellMar>
        </w:tblPrEx>
        <w:trPr>
          <w:trHeight w:val="270" w:hRule="atLeast"/>
        </w:trPr>
        <w:tc>
          <w:tcPr>
            <w:tcW w:w="10245" w:type="dxa"/>
            <w:gridSpan w:val="8"/>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单位：亿元</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区划</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项目单位</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项目名称</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项目领域</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债券性质</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债券金额</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实际支出</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昌吉州</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318003-新疆准东经济技术开发区管委会</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新疆准东经济技术开发区五彩湾生活服务区（西部新城）一贯制学校建设项目</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0901 义务教育</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一般债券</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0.1</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0.1</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昌吉州</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318003-新疆准东经济技术开发区管委会</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新疆准东经济技术开发区产教融合科技创新园</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0904 职业教育</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专项债券</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昌吉州</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318003-新疆准东经济技术开发区管委会</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新疆准东经济技术开发区五彩湾新城备用热源项目</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0499 其他市政建设</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专项债券</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0.2</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昌吉州</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318003-新疆准东经济技术开发区管委会</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新疆准东经济技术开发区产教融合科技创新园</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0904 职业教育</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专项债券</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昌吉州</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318003-新疆准东经济技术开发区管委会</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新疆准东西部新城新建自来水厂</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040401 供水</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专项债券</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0.3</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0.3</w:t>
            </w:r>
          </w:p>
        </w:tc>
      </w:tr>
    </w:tbl>
    <w:tbl>
      <w:tblPr>
        <w:tblStyle w:val="5"/>
        <w:tblW w:w="7939" w:type="dxa"/>
        <w:tblInd w:w="-269" w:type="dxa"/>
        <w:tblLayout w:type="fixed"/>
        <w:tblCellMar>
          <w:top w:w="15" w:type="dxa"/>
          <w:left w:w="15" w:type="dxa"/>
          <w:bottom w:w="15" w:type="dxa"/>
          <w:right w:w="15" w:type="dxa"/>
        </w:tblCellMar>
      </w:tblPr>
      <w:tblGrid>
        <w:gridCol w:w="2501"/>
        <w:gridCol w:w="1752"/>
        <w:gridCol w:w="1843"/>
        <w:gridCol w:w="1843"/>
      </w:tblGrid>
      <w:tr>
        <w:tblPrEx>
          <w:tblCellMar>
            <w:top w:w="15" w:type="dxa"/>
            <w:left w:w="15" w:type="dxa"/>
            <w:bottom w:w="15" w:type="dxa"/>
            <w:right w:w="15" w:type="dxa"/>
          </w:tblCellMar>
        </w:tblPrEx>
        <w:trPr>
          <w:trHeight w:val="555" w:hRule="atLeast"/>
        </w:trPr>
        <w:tc>
          <w:tcPr>
            <w:tcW w:w="7939" w:type="dxa"/>
            <w:gridSpan w:val="4"/>
            <w:vAlign w:val="center"/>
          </w:tcPr>
          <w:p>
            <w:pPr>
              <w:widowControl/>
              <w:jc w:val="left"/>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表</w:t>
            </w:r>
            <w:r>
              <w:rPr>
                <w:rFonts w:hint="eastAsia" w:ascii="宋体" w:hAnsi="宋体" w:cs="宋体"/>
                <w:color w:val="000000"/>
                <w:kern w:val="0"/>
                <w:sz w:val="20"/>
                <w:szCs w:val="20"/>
                <w:lang w:val="en-US" w:eastAsia="zh-CN" w:bidi="ar"/>
              </w:rPr>
              <w:t>17</w:t>
            </w:r>
          </w:p>
          <w:p>
            <w:pPr>
              <w:widowControl/>
              <w:jc w:val="center"/>
              <w:textAlignment w:val="center"/>
              <w:rPr>
                <w:rFonts w:cs="宋体"/>
                <w:b/>
                <w:color w:val="000000"/>
                <w:kern w:val="0"/>
                <w:sz w:val="20"/>
                <w:szCs w:val="20"/>
                <w:lang w:bidi="ar"/>
              </w:rPr>
            </w:pPr>
            <w:r>
              <w:rPr>
                <w:rFonts w:cs="宋体"/>
                <w:b/>
                <w:color w:val="000000"/>
                <w:kern w:val="0"/>
                <w:sz w:val="20"/>
                <w:szCs w:val="20"/>
                <w:lang w:bidi="ar"/>
              </w:rPr>
              <w:t>2021</w:t>
            </w:r>
            <w:r>
              <w:rPr>
                <w:rFonts w:hint="eastAsia" w:cs="宋体"/>
                <w:b/>
                <w:color w:val="000000"/>
                <w:kern w:val="0"/>
                <w:sz w:val="20"/>
                <w:szCs w:val="20"/>
                <w:lang w:eastAsia="zh-Hans" w:bidi="ar"/>
              </w:rPr>
              <w:t>年</w:t>
            </w:r>
            <w:r>
              <w:rPr>
                <w:rFonts w:hint="eastAsia" w:ascii="宋体" w:hAnsi="宋体" w:cs="宋体"/>
                <w:b/>
                <w:color w:val="000000"/>
                <w:kern w:val="0"/>
                <w:sz w:val="20"/>
                <w:szCs w:val="20"/>
                <w:lang w:val="en-US" w:eastAsia="zh-CN" w:bidi="ar"/>
              </w:rPr>
              <w:t>准东开发区</w:t>
            </w:r>
            <w:r>
              <w:rPr>
                <w:rFonts w:ascii="宋体" w:hAnsi="宋体" w:cs="宋体"/>
                <w:b/>
                <w:color w:val="000000"/>
                <w:kern w:val="0"/>
                <w:sz w:val="20"/>
                <w:szCs w:val="20"/>
                <w:lang w:bidi="ar"/>
              </w:rPr>
              <w:t>还本付息预计执行及本年度还本付息预算情况表</w:t>
            </w:r>
          </w:p>
        </w:tc>
      </w:tr>
      <w:tr>
        <w:tblPrEx>
          <w:tblCellMar>
            <w:top w:w="15" w:type="dxa"/>
            <w:left w:w="15" w:type="dxa"/>
            <w:bottom w:w="15" w:type="dxa"/>
            <w:right w:w="15" w:type="dxa"/>
          </w:tblCellMar>
        </w:tblPrEx>
        <w:trPr>
          <w:trHeight w:val="375" w:hRule="atLeast"/>
        </w:trPr>
        <w:tc>
          <w:tcPr>
            <w:tcW w:w="2501" w:type="dxa"/>
            <w:vAlign w:val="center"/>
          </w:tcPr>
          <w:p>
            <w:pPr>
              <w:rPr>
                <w:rFonts w:ascii="宋体" w:hAnsi="宋体" w:cs="宋体"/>
                <w:color w:val="000000"/>
                <w:sz w:val="20"/>
                <w:szCs w:val="20"/>
              </w:rPr>
            </w:pPr>
          </w:p>
        </w:tc>
        <w:tc>
          <w:tcPr>
            <w:tcW w:w="1752" w:type="dxa"/>
            <w:vAlign w:val="center"/>
          </w:tcPr>
          <w:p>
            <w:pPr>
              <w:rPr>
                <w:rFonts w:ascii="宋体" w:hAnsi="宋体" w:cs="宋体"/>
                <w:color w:val="000000"/>
                <w:sz w:val="20"/>
                <w:szCs w:val="20"/>
              </w:rPr>
            </w:pPr>
          </w:p>
        </w:tc>
        <w:tc>
          <w:tcPr>
            <w:tcW w:w="1843" w:type="dxa"/>
            <w:vAlign w:val="center"/>
          </w:tcPr>
          <w:p>
            <w:pPr>
              <w:rPr>
                <w:rFonts w:ascii="宋体" w:hAnsi="宋体" w:cs="宋体"/>
                <w:color w:val="000000"/>
                <w:sz w:val="20"/>
                <w:szCs w:val="20"/>
              </w:rPr>
            </w:pPr>
          </w:p>
        </w:tc>
        <w:tc>
          <w:tcPr>
            <w:tcW w:w="1843" w:type="dxa"/>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单位：亿元</w:t>
            </w:r>
          </w:p>
        </w:tc>
      </w:tr>
      <w:tr>
        <w:tblPrEx>
          <w:tblCellMar>
            <w:top w:w="15" w:type="dxa"/>
            <w:left w:w="15" w:type="dxa"/>
            <w:bottom w:w="15" w:type="dxa"/>
            <w:right w:w="15" w:type="dxa"/>
          </w:tblCellMar>
        </w:tblPrEx>
        <w:trPr>
          <w:trHeight w:val="375" w:hRule="atLeast"/>
        </w:trPr>
        <w:tc>
          <w:tcPr>
            <w:tcW w:w="25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项    目</w:t>
            </w:r>
          </w:p>
        </w:tc>
        <w:tc>
          <w:tcPr>
            <w:tcW w:w="1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sz w:val="20"/>
                <w:szCs w:val="20"/>
                <w:lang w:val="en-US" w:eastAsia="zh-CN"/>
              </w:rPr>
            </w:pPr>
            <w:r>
              <w:rPr>
                <w:rFonts w:hint="eastAsia" w:ascii="宋体" w:hAnsi="宋体" w:cs="宋体"/>
                <w:b/>
                <w:color w:val="000000"/>
                <w:sz w:val="20"/>
                <w:szCs w:val="20"/>
                <w:lang w:val="en-US" w:eastAsia="zh-CN"/>
              </w:rPr>
              <w:t>昌吉州</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本级</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sz w:val="20"/>
                <w:szCs w:val="20"/>
                <w:lang w:val="en-US" w:eastAsia="zh-CN"/>
              </w:rPr>
            </w:pPr>
            <w:r>
              <w:rPr>
                <w:rFonts w:hint="eastAsia" w:ascii="宋体" w:hAnsi="宋体" w:cs="宋体"/>
                <w:b/>
                <w:color w:val="000000"/>
                <w:kern w:val="0"/>
                <w:sz w:val="20"/>
                <w:szCs w:val="20"/>
                <w:lang w:val="en-US" w:eastAsia="zh-CN" w:bidi="ar"/>
              </w:rPr>
              <w:t>准东开发区</w:t>
            </w:r>
          </w:p>
        </w:tc>
      </w:tr>
      <w:tr>
        <w:tblPrEx>
          <w:tblCellMar>
            <w:top w:w="15" w:type="dxa"/>
            <w:left w:w="15" w:type="dxa"/>
            <w:bottom w:w="15" w:type="dxa"/>
            <w:right w:w="15" w:type="dxa"/>
          </w:tblCellMar>
        </w:tblPrEx>
        <w:trPr>
          <w:trHeight w:val="375" w:hRule="atLeast"/>
        </w:trPr>
        <w:tc>
          <w:tcPr>
            <w:tcW w:w="25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一、上年度发行预计执行数</w:t>
            </w:r>
          </w:p>
        </w:tc>
        <w:tc>
          <w:tcPr>
            <w:tcW w:w="17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7.07</w:t>
            </w:r>
          </w:p>
        </w:tc>
      </w:tr>
      <w:tr>
        <w:tblPrEx>
          <w:tblCellMar>
            <w:top w:w="15" w:type="dxa"/>
            <w:left w:w="15" w:type="dxa"/>
            <w:bottom w:w="15" w:type="dxa"/>
            <w:right w:w="15" w:type="dxa"/>
          </w:tblCellMar>
        </w:tblPrEx>
        <w:trPr>
          <w:trHeight w:val="375" w:hRule="atLeast"/>
        </w:trPr>
        <w:tc>
          <w:tcPr>
            <w:tcW w:w="25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（一）一般债券</w:t>
            </w:r>
          </w:p>
        </w:tc>
        <w:tc>
          <w:tcPr>
            <w:tcW w:w="17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0.57</w:t>
            </w:r>
          </w:p>
        </w:tc>
      </w:tr>
      <w:tr>
        <w:tblPrEx>
          <w:tblCellMar>
            <w:top w:w="15" w:type="dxa"/>
            <w:left w:w="15" w:type="dxa"/>
            <w:bottom w:w="15" w:type="dxa"/>
            <w:right w:w="15" w:type="dxa"/>
          </w:tblCellMar>
        </w:tblPrEx>
        <w:trPr>
          <w:trHeight w:val="375" w:hRule="atLeast"/>
        </w:trPr>
        <w:tc>
          <w:tcPr>
            <w:tcW w:w="25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其中：再融资债券</w:t>
            </w:r>
          </w:p>
        </w:tc>
        <w:tc>
          <w:tcPr>
            <w:tcW w:w="17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0.47</w:t>
            </w:r>
          </w:p>
        </w:tc>
      </w:tr>
      <w:tr>
        <w:tblPrEx>
          <w:tblCellMar>
            <w:top w:w="15" w:type="dxa"/>
            <w:left w:w="15" w:type="dxa"/>
            <w:bottom w:w="15" w:type="dxa"/>
            <w:right w:w="15" w:type="dxa"/>
          </w:tblCellMar>
        </w:tblPrEx>
        <w:trPr>
          <w:trHeight w:val="375" w:hRule="atLeast"/>
        </w:trPr>
        <w:tc>
          <w:tcPr>
            <w:tcW w:w="25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（二）专项债券</w:t>
            </w:r>
          </w:p>
        </w:tc>
        <w:tc>
          <w:tcPr>
            <w:tcW w:w="17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6.50</w:t>
            </w:r>
          </w:p>
        </w:tc>
      </w:tr>
      <w:tr>
        <w:tblPrEx>
          <w:tblCellMar>
            <w:top w:w="15" w:type="dxa"/>
            <w:left w:w="15" w:type="dxa"/>
            <w:bottom w:w="15" w:type="dxa"/>
            <w:right w:w="15" w:type="dxa"/>
          </w:tblCellMar>
        </w:tblPrEx>
        <w:trPr>
          <w:trHeight w:val="375" w:hRule="atLeast"/>
        </w:trPr>
        <w:tc>
          <w:tcPr>
            <w:tcW w:w="25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其中：再融资债券</w:t>
            </w:r>
          </w:p>
        </w:tc>
        <w:tc>
          <w:tcPr>
            <w:tcW w:w="17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15" w:type="dxa"/>
            <w:left w:w="15" w:type="dxa"/>
            <w:bottom w:w="15" w:type="dxa"/>
            <w:right w:w="15" w:type="dxa"/>
          </w:tblCellMar>
        </w:tblPrEx>
        <w:trPr>
          <w:trHeight w:val="375" w:hRule="atLeast"/>
        </w:trPr>
        <w:tc>
          <w:tcPr>
            <w:tcW w:w="25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二、上年度还本预计执行数</w:t>
            </w:r>
          </w:p>
        </w:tc>
        <w:tc>
          <w:tcPr>
            <w:tcW w:w="17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1.16</w:t>
            </w:r>
          </w:p>
        </w:tc>
      </w:tr>
      <w:tr>
        <w:tblPrEx>
          <w:tblCellMar>
            <w:top w:w="15" w:type="dxa"/>
            <w:left w:w="15" w:type="dxa"/>
            <w:bottom w:w="15" w:type="dxa"/>
            <w:right w:w="15" w:type="dxa"/>
          </w:tblCellMar>
        </w:tblPrEx>
        <w:trPr>
          <w:trHeight w:val="375" w:hRule="atLeast"/>
        </w:trPr>
        <w:tc>
          <w:tcPr>
            <w:tcW w:w="25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（一）一般债券</w:t>
            </w:r>
          </w:p>
        </w:tc>
        <w:tc>
          <w:tcPr>
            <w:tcW w:w="17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1.00</w:t>
            </w:r>
          </w:p>
        </w:tc>
      </w:tr>
      <w:tr>
        <w:tblPrEx>
          <w:tblCellMar>
            <w:top w:w="15" w:type="dxa"/>
            <w:left w:w="15" w:type="dxa"/>
            <w:bottom w:w="15" w:type="dxa"/>
            <w:right w:w="15" w:type="dxa"/>
          </w:tblCellMar>
        </w:tblPrEx>
        <w:trPr>
          <w:trHeight w:val="375" w:hRule="atLeast"/>
        </w:trPr>
        <w:tc>
          <w:tcPr>
            <w:tcW w:w="25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（二）专项债券</w:t>
            </w:r>
          </w:p>
        </w:tc>
        <w:tc>
          <w:tcPr>
            <w:tcW w:w="17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0.16</w:t>
            </w:r>
          </w:p>
        </w:tc>
      </w:tr>
      <w:tr>
        <w:tblPrEx>
          <w:tblCellMar>
            <w:top w:w="15" w:type="dxa"/>
            <w:left w:w="15" w:type="dxa"/>
            <w:bottom w:w="15" w:type="dxa"/>
            <w:right w:w="15" w:type="dxa"/>
          </w:tblCellMar>
        </w:tblPrEx>
        <w:trPr>
          <w:trHeight w:val="375" w:hRule="atLeast"/>
        </w:trPr>
        <w:tc>
          <w:tcPr>
            <w:tcW w:w="25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三、上年度付息预计执行数</w:t>
            </w:r>
          </w:p>
        </w:tc>
        <w:tc>
          <w:tcPr>
            <w:tcW w:w="17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0.72</w:t>
            </w:r>
          </w:p>
        </w:tc>
      </w:tr>
      <w:tr>
        <w:tblPrEx>
          <w:tblCellMar>
            <w:top w:w="15" w:type="dxa"/>
            <w:left w:w="15" w:type="dxa"/>
            <w:bottom w:w="15" w:type="dxa"/>
            <w:right w:w="15" w:type="dxa"/>
          </w:tblCellMar>
        </w:tblPrEx>
        <w:trPr>
          <w:trHeight w:val="375" w:hRule="atLeast"/>
        </w:trPr>
        <w:tc>
          <w:tcPr>
            <w:tcW w:w="25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（一）一般债券</w:t>
            </w:r>
          </w:p>
        </w:tc>
        <w:tc>
          <w:tcPr>
            <w:tcW w:w="17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0.22</w:t>
            </w:r>
          </w:p>
        </w:tc>
      </w:tr>
      <w:tr>
        <w:tblPrEx>
          <w:tblCellMar>
            <w:top w:w="15" w:type="dxa"/>
            <w:left w:w="15" w:type="dxa"/>
            <w:bottom w:w="15" w:type="dxa"/>
            <w:right w:w="15" w:type="dxa"/>
          </w:tblCellMar>
        </w:tblPrEx>
        <w:trPr>
          <w:trHeight w:val="375" w:hRule="atLeast"/>
        </w:trPr>
        <w:tc>
          <w:tcPr>
            <w:tcW w:w="25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（二）专项债券</w:t>
            </w:r>
          </w:p>
        </w:tc>
        <w:tc>
          <w:tcPr>
            <w:tcW w:w="17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0.50</w:t>
            </w:r>
          </w:p>
        </w:tc>
      </w:tr>
      <w:tr>
        <w:tblPrEx>
          <w:tblCellMar>
            <w:top w:w="15" w:type="dxa"/>
            <w:left w:w="15" w:type="dxa"/>
            <w:bottom w:w="15" w:type="dxa"/>
            <w:right w:w="15" w:type="dxa"/>
          </w:tblCellMar>
        </w:tblPrEx>
        <w:trPr>
          <w:trHeight w:val="375" w:hRule="atLeast"/>
        </w:trPr>
        <w:tc>
          <w:tcPr>
            <w:tcW w:w="25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四、本年度还本预算数</w:t>
            </w:r>
          </w:p>
        </w:tc>
        <w:tc>
          <w:tcPr>
            <w:tcW w:w="17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0.62</w:t>
            </w:r>
          </w:p>
        </w:tc>
      </w:tr>
      <w:tr>
        <w:tblPrEx>
          <w:tblCellMar>
            <w:top w:w="15" w:type="dxa"/>
            <w:left w:w="15" w:type="dxa"/>
            <w:bottom w:w="15" w:type="dxa"/>
            <w:right w:w="15" w:type="dxa"/>
          </w:tblCellMar>
        </w:tblPrEx>
        <w:trPr>
          <w:trHeight w:val="375" w:hRule="atLeast"/>
        </w:trPr>
        <w:tc>
          <w:tcPr>
            <w:tcW w:w="25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（一）一般债券</w:t>
            </w:r>
          </w:p>
        </w:tc>
        <w:tc>
          <w:tcPr>
            <w:tcW w:w="17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0.62</w:t>
            </w:r>
          </w:p>
        </w:tc>
      </w:tr>
      <w:tr>
        <w:tblPrEx>
          <w:tblCellMar>
            <w:top w:w="15" w:type="dxa"/>
            <w:left w:w="15" w:type="dxa"/>
            <w:bottom w:w="15" w:type="dxa"/>
            <w:right w:w="15" w:type="dxa"/>
          </w:tblCellMar>
        </w:tblPrEx>
        <w:trPr>
          <w:trHeight w:val="375" w:hRule="atLeast"/>
        </w:trPr>
        <w:tc>
          <w:tcPr>
            <w:tcW w:w="25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其中：再融资</w:t>
            </w:r>
          </w:p>
        </w:tc>
        <w:tc>
          <w:tcPr>
            <w:tcW w:w="17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15" w:type="dxa"/>
            <w:left w:w="15" w:type="dxa"/>
            <w:bottom w:w="15" w:type="dxa"/>
            <w:right w:w="15" w:type="dxa"/>
          </w:tblCellMar>
        </w:tblPrEx>
        <w:trPr>
          <w:trHeight w:val="375" w:hRule="atLeast"/>
        </w:trPr>
        <w:tc>
          <w:tcPr>
            <w:tcW w:w="25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财政预算安排</w:t>
            </w:r>
          </w:p>
        </w:tc>
        <w:tc>
          <w:tcPr>
            <w:tcW w:w="17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0.62</w:t>
            </w:r>
          </w:p>
        </w:tc>
      </w:tr>
      <w:tr>
        <w:tblPrEx>
          <w:tblCellMar>
            <w:top w:w="15" w:type="dxa"/>
            <w:left w:w="15" w:type="dxa"/>
            <w:bottom w:w="15" w:type="dxa"/>
            <w:right w:w="15" w:type="dxa"/>
          </w:tblCellMar>
        </w:tblPrEx>
        <w:trPr>
          <w:trHeight w:val="375" w:hRule="atLeast"/>
        </w:trPr>
        <w:tc>
          <w:tcPr>
            <w:tcW w:w="25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（二）专项债券</w:t>
            </w:r>
          </w:p>
        </w:tc>
        <w:tc>
          <w:tcPr>
            <w:tcW w:w="17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0.48</w:t>
            </w:r>
          </w:p>
        </w:tc>
      </w:tr>
      <w:tr>
        <w:tblPrEx>
          <w:tblCellMar>
            <w:top w:w="15" w:type="dxa"/>
            <w:left w:w="15" w:type="dxa"/>
            <w:bottom w:w="15" w:type="dxa"/>
            <w:right w:w="15" w:type="dxa"/>
          </w:tblCellMar>
        </w:tblPrEx>
        <w:trPr>
          <w:trHeight w:val="375" w:hRule="atLeast"/>
        </w:trPr>
        <w:tc>
          <w:tcPr>
            <w:tcW w:w="25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其中：再融资</w:t>
            </w:r>
          </w:p>
        </w:tc>
        <w:tc>
          <w:tcPr>
            <w:tcW w:w="17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15" w:type="dxa"/>
            <w:left w:w="15" w:type="dxa"/>
            <w:bottom w:w="15" w:type="dxa"/>
            <w:right w:w="15" w:type="dxa"/>
          </w:tblCellMar>
        </w:tblPrEx>
        <w:trPr>
          <w:trHeight w:val="375" w:hRule="atLeast"/>
        </w:trPr>
        <w:tc>
          <w:tcPr>
            <w:tcW w:w="25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财政预算安排</w:t>
            </w:r>
          </w:p>
        </w:tc>
        <w:tc>
          <w:tcPr>
            <w:tcW w:w="17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0.48</w:t>
            </w:r>
          </w:p>
        </w:tc>
      </w:tr>
      <w:tr>
        <w:tblPrEx>
          <w:tblCellMar>
            <w:top w:w="15" w:type="dxa"/>
            <w:left w:w="15" w:type="dxa"/>
            <w:bottom w:w="15" w:type="dxa"/>
            <w:right w:w="15" w:type="dxa"/>
          </w:tblCellMar>
        </w:tblPrEx>
        <w:trPr>
          <w:trHeight w:val="375" w:hRule="atLeast"/>
        </w:trPr>
        <w:tc>
          <w:tcPr>
            <w:tcW w:w="25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五、本年度付息预算数</w:t>
            </w:r>
          </w:p>
        </w:tc>
        <w:tc>
          <w:tcPr>
            <w:tcW w:w="17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1.33</w:t>
            </w:r>
          </w:p>
        </w:tc>
      </w:tr>
      <w:tr>
        <w:tblPrEx>
          <w:tblCellMar>
            <w:top w:w="15" w:type="dxa"/>
            <w:left w:w="15" w:type="dxa"/>
            <w:bottom w:w="15" w:type="dxa"/>
            <w:right w:w="15" w:type="dxa"/>
          </w:tblCellMar>
        </w:tblPrEx>
        <w:trPr>
          <w:trHeight w:val="375" w:hRule="atLeast"/>
        </w:trPr>
        <w:tc>
          <w:tcPr>
            <w:tcW w:w="25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（一）一般债券</w:t>
            </w:r>
          </w:p>
        </w:tc>
        <w:tc>
          <w:tcPr>
            <w:tcW w:w="17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0.24</w:t>
            </w:r>
          </w:p>
        </w:tc>
      </w:tr>
      <w:tr>
        <w:tblPrEx>
          <w:tblCellMar>
            <w:top w:w="15" w:type="dxa"/>
            <w:left w:w="15" w:type="dxa"/>
            <w:bottom w:w="15" w:type="dxa"/>
            <w:right w:w="15" w:type="dxa"/>
          </w:tblCellMar>
        </w:tblPrEx>
        <w:trPr>
          <w:trHeight w:val="375" w:hRule="atLeast"/>
        </w:trPr>
        <w:tc>
          <w:tcPr>
            <w:tcW w:w="25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（二）专项债券</w:t>
            </w:r>
          </w:p>
        </w:tc>
        <w:tc>
          <w:tcPr>
            <w:tcW w:w="17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1.08</w:t>
            </w:r>
          </w:p>
        </w:tc>
      </w:tr>
    </w:tbl>
    <w:p>
      <w:pPr>
        <w:widowControl/>
        <w:jc w:val="left"/>
        <w:textAlignment w:val="center"/>
        <w:rPr>
          <w:rFonts w:ascii="宋体" w:hAnsi="宋体" w:cs="宋体"/>
          <w:color w:val="000000"/>
          <w:kern w:val="0"/>
          <w:sz w:val="20"/>
          <w:szCs w:val="20"/>
          <w:lang w:eastAsia="zh-Hans" w:bidi="ar"/>
        </w:rPr>
      </w:pPr>
    </w:p>
    <w:p>
      <w:pPr>
        <w:widowControl/>
        <w:jc w:val="left"/>
        <w:textAlignment w:val="center"/>
        <w:rPr>
          <w:rFonts w:ascii="宋体" w:hAnsi="宋体" w:cs="宋体"/>
          <w:color w:val="000000"/>
          <w:kern w:val="0"/>
          <w:sz w:val="20"/>
          <w:szCs w:val="20"/>
          <w:lang w:eastAsia="zh-Hans" w:bidi="ar"/>
        </w:rPr>
      </w:pPr>
    </w:p>
    <w:tbl>
      <w:tblPr>
        <w:tblStyle w:val="5"/>
        <w:tblpPr w:leftFromText="180" w:rightFromText="180" w:vertAnchor="text" w:horzAnchor="page" w:tblpX="527" w:tblpY="292"/>
        <w:tblOverlap w:val="never"/>
        <w:tblW w:w="11133" w:type="dxa"/>
        <w:tblInd w:w="0" w:type="dxa"/>
        <w:tblLayout w:type="fixed"/>
        <w:tblCellMar>
          <w:top w:w="15" w:type="dxa"/>
          <w:left w:w="15" w:type="dxa"/>
          <w:bottom w:w="15" w:type="dxa"/>
          <w:right w:w="15" w:type="dxa"/>
        </w:tblCellMar>
      </w:tblPr>
      <w:tblGrid>
        <w:gridCol w:w="783"/>
        <w:gridCol w:w="537"/>
        <w:gridCol w:w="738"/>
        <w:gridCol w:w="2627"/>
        <w:gridCol w:w="2627"/>
        <w:gridCol w:w="821"/>
        <w:gridCol w:w="715"/>
        <w:gridCol w:w="880"/>
        <w:gridCol w:w="408"/>
        <w:gridCol w:w="443"/>
        <w:gridCol w:w="554"/>
      </w:tblGrid>
      <w:tr>
        <w:tblPrEx>
          <w:tblCellMar>
            <w:top w:w="15" w:type="dxa"/>
            <w:left w:w="15" w:type="dxa"/>
            <w:bottom w:w="15" w:type="dxa"/>
            <w:right w:w="15" w:type="dxa"/>
          </w:tblCellMar>
        </w:tblPrEx>
        <w:trPr>
          <w:trHeight w:val="525" w:hRule="atLeast"/>
        </w:trPr>
        <w:tc>
          <w:tcPr>
            <w:tcW w:w="11133" w:type="dxa"/>
            <w:gridSpan w:val="11"/>
            <w:vAlign w:val="center"/>
          </w:tcPr>
          <w:p>
            <w:pPr>
              <w:widowControl/>
              <w:jc w:val="left"/>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表</w:t>
            </w:r>
            <w:r>
              <w:rPr>
                <w:rFonts w:hint="eastAsia" w:ascii="宋体" w:hAnsi="宋体" w:cs="宋体"/>
                <w:color w:val="000000"/>
                <w:kern w:val="0"/>
                <w:sz w:val="20"/>
                <w:szCs w:val="20"/>
                <w:lang w:val="en-US" w:eastAsia="zh-CN" w:bidi="ar"/>
              </w:rPr>
              <w:t>18</w:t>
            </w:r>
          </w:p>
        </w:tc>
      </w:tr>
      <w:tr>
        <w:tblPrEx>
          <w:tblCellMar>
            <w:top w:w="15" w:type="dxa"/>
            <w:left w:w="15" w:type="dxa"/>
            <w:bottom w:w="15" w:type="dxa"/>
            <w:right w:w="15" w:type="dxa"/>
          </w:tblCellMar>
        </w:tblPrEx>
        <w:trPr>
          <w:trHeight w:val="525" w:hRule="atLeast"/>
        </w:trPr>
        <w:tc>
          <w:tcPr>
            <w:tcW w:w="11133" w:type="dxa"/>
            <w:gridSpan w:val="11"/>
            <w:vAlign w:val="center"/>
          </w:tcPr>
          <w:p>
            <w:pPr>
              <w:widowControl/>
              <w:jc w:val="center"/>
              <w:textAlignment w:val="center"/>
              <w:rPr>
                <w:rFonts w:ascii="宋体" w:hAnsi="宋体" w:cs="宋体"/>
                <w:b/>
                <w:color w:val="000000"/>
                <w:kern w:val="0"/>
                <w:sz w:val="20"/>
                <w:szCs w:val="20"/>
                <w:lang w:bidi="ar"/>
              </w:rPr>
            </w:pPr>
            <w:r>
              <w:rPr>
                <w:rFonts w:cs="宋体"/>
                <w:b/>
                <w:color w:val="000000"/>
                <w:kern w:val="0"/>
                <w:sz w:val="20"/>
                <w:szCs w:val="20"/>
                <w:lang w:bidi="ar"/>
              </w:rPr>
              <w:t>2022</w:t>
            </w:r>
            <w:r>
              <w:rPr>
                <w:rFonts w:hint="eastAsia" w:cs="宋体"/>
                <w:b/>
                <w:color w:val="000000"/>
                <w:kern w:val="0"/>
                <w:sz w:val="20"/>
                <w:szCs w:val="20"/>
                <w:lang w:eastAsia="zh-Hans" w:bidi="ar"/>
              </w:rPr>
              <w:t>年</w:t>
            </w:r>
            <w:r>
              <w:rPr>
                <w:rFonts w:hint="eastAsia" w:ascii="宋体" w:hAnsi="宋体" w:cs="宋体"/>
                <w:b/>
                <w:color w:val="000000"/>
                <w:kern w:val="0"/>
                <w:sz w:val="20"/>
                <w:szCs w:val="20"/>
                <w:lang w:val="en-US" w:eastAsia="zh-CN" w:bidi="ar"/>
              </w:rPr>
              <w:t>准东开发区</w:t>
            </w:r>
            <w:r>
              <w:rPr>
                <w:rFonts w:hint="eastAsia" w:ascii="宋体" w:hAnsi="宋体" w:cs="宋体"/>
                <w:b/>
                <w:color w:val="000000"/>
                <w:kern w:val="0"/>
                <w:sz w:val="20"/>
                <w:szCs w:val="20"/>
                <w:lang w:bidi="ar"/>
              </w:rPr>
              <w:t>新增债券资金使用安排情况表</w:t>
            </w:r>
          </w:p>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单位：亿元</w:t>
            </w:r>
          </w:p>
        </w:tc>
      </w:tr>
      <w:tr>
        <w:tblPrEx>
          <w:tblCellMar>
            <w:top w:w="15" w:type="dxa"/>
            <w:left w:w="15" w:type="dxa"/>
            <w:bottom w:w="15" w:type="dxa"/>
            <w:right w:w="15" w:type="dxa"/>
          </w:tblCellMar>
        </w:tblPrEx>
        <w:trPr>
          <w:trHeight w:val="555" w:hRule="atLeast"/>
        </w:trPr>
        <w:tc>
          <w:tcPr>
            <w:tcW w:w="7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序号</w:t>
            </w:r>
          </w:p>
        </w:tc>
        <w:tc>
          <w:tcPr>
            <w:tcW w:w="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区划</w:t>
            </w: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项目单位</w:t>
            </w:r>
          </w:p>
        </w:tc>
        <w:tc>
          <w:tcPr>
            <w:tcW w:w="2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项目名称</w:t>
            </w:r>
          </w:p>
        </w:tc>
        <w:tc>
          <w:tcPr>
            <w:tcW w:w="26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投向领域</w:t>
            </w:r>
          </w:p>
        </w:tc>
        <w:tc>
          <w:tcPr>
            <w:tcW w:w="8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债券类型</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债券金额</w:t>
            </w:r>
          </w:p>
        </w:tc>
        <w:tc>
          <w:tcPr>
            <w:tcW w:w="8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偿还来源</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债券期限</w:t>
            </w:r>
          </w:p>
        </w:tc>
        <w:tc>
          <w:tcPr>
            <w:tcW w:w="4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利率</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还本付息</w:t>
            </w:r>
          </w:p>
        </w:tc>
      </w:tr>
      <w:tr>
        <w:tblPrEx>
          <w:tblCellMar>
            <w:top w:w="15" w:type="dxa"/>
            <w:left w:w="15" w:type="dxa"/>
            <w:bottom w:w="15" w:type="dxa"/>
            <w:right w:w="15" w:type="dxa"/>
          </w:tblCellMar>
        </w:tblPrEx>
        <w:trPr>
          <w:trHeight w:val="300" w:hRule="atLeast"/>
        </w:trPr>
        <w:tc>
          <w:tcPr>
            <w:tcW w:w="783" w:type="dxa"/>
            <w:tcBorders>
              <w:top w:val="single" w:color="000000" w:sz="4" w:space="0"/>
              <w:left w:val="single" w:color="000000" w:sz="4" w:space="0"/>
              <w:bottom w:val="single" w:color="000000" w:sz="4" w:space="0"/>
              <w:right w:val="single" w:color="000000" w:sz="4" w:space="0"/>
            </w:tcBorders>
          </w:tcPr>
          <w:p>
            <w:pPr>
              <w:jc w:val="center"/>
            </w:pPr>
            <w:r>
              <w:rPr>
                <w:rFonts w:hint="eastAsia" w:ascii="宋体" w:hAnsi="宋体" w:cs="宋体"/>
                <w:color w:val="000000"/>
                <w:sz w:val="20"/>
                <w:szCs w:val="20"/>
              </w:rPr>
              <w:t>-</w:t>
            </w:r>
          </w:p>
        </w:tc>
        <w:tc>
          <w:tcPr>
            <w:tcW w:w="537" w:type="dxa"/>
            <w:tcBorders>
              <w:top w:val="single" w:color="000000" w:sz="4" w:space="0"/>
              <w:left w:val="single" w:color="000000" w:sz="4" w:space="0"/>
              <w:bottom w:val="single" w:color="000000" w:sz="4" w:space="0"/>
              <w:right w:val="single" w:color="000000" w:sz="4" w:space="0"/>
            </w:tcBorders>
          </w:tcPr>
          <w:p>
            <w:pPr>
              <w:jc w:val="center"/>
            </w:pPr>
            <w:r>
              <w:rPr>
                <w:rFonts w:hint="eastAsia" w:ascii="宋体" w:hAnsi="宋体" w:cs="宋体"/>
                <w:color w:val="000000"/>
                <w:sz w:val="20"/>
                <w:szCs w:val="20"/>
              </w:rPr>
              <w:t>-</w:t>
            </w:r>
          </w:p>
        </w:tc>
        <w:tc>
          <w:tcPr>
            <w:tcW w:w="738" w:type="dxa"/>
            <w:tcBorders>
              <w:top w:val="single" w:color="000000" w:sz="4" w:space="0"/>
              <w:left w:val="single" w:color="000000" w:sz="4" w:space="0"/>
              <w:bottom w:val="single" w:color="000000" w:sz="4" w:space="0"/>
              <w:right w:val="single" w:color="000000" w:sz="4" w:space="0"/>
            </w:tcBorders>
          </w:tcPr>
          <w:p>
            <w:pPr>
              <w:jc w:val="center"/>
            </w:pPr>
            <w:r>
              <w:rPr>
                <w:rFonts w:hint="eastAsia" w:ascii="宋体" w:hAnsi="宋体" w:cs="宋体"/>
                <w:color w:val="000000"/>
                <w:sz w:val="20"/>
                <w:szCs w:val="20"/>
              </w:rPr>
              <w:t>-</w:t>
            </w:r>
          </w:p>
        </w:tc>
        <w:tc>
          <w:tcPr>
            <w:tcW w:w="2627" w:type="dxa"/>
            <w:tcBorders>
              <w:top w:val="single" w:color="000000" w:sz="4" w:space="0"/>
              <w:left w:val="single" w:color="000000" w:sz="4" w:space="0"/>
              <w:bottom w:val="single" w:color="000000" w:sz="4" w:space="0"/>
              <w:right w:val="single" w:color="000000" w:sz="4" w:space="0"/>
            </w:tcBorders>
          </w:tcPr>
          <w:p>
            <w:pPr>
              <w:jc w:val="center"/>
            </w:pPr>
            <w:r>
              <w:rPr>
                <w:rFonts w:hint="eastAsia" w:ascii="宋体" w:hAnsi="宋体" w:cs="宋体"/>
                <w:color w:val="000000"/>
                <w:sz w:val="20"/>
                <w:szCs w:val="20"/>
              </w:rPr>
              <w:t>-</w:t>
            </w:r>
          </w:p>
        </w:tc>
        <w:tc>
          <w:tcPr>
            <w:tcW w:w="2627" w:type="dxa"/>
            <w:tcBorders>
              <w:top w:val="single" w:color="000000" w:sz="4" w:space="0"/>
              <w:left w:val="single" w:color="000000" w:sz="4" w:space="0"/>
              <w:bottom w:val="single" w:color="000000" w:sz="4" w:space="0"/>
              <w:right w:val="single" w:color="000000" w:sz="4" w:space="0"/>
            </w:tcBorders>
          </w:tcPr>
          <w:p>
            <w:pPr>
              <w:jc w:val="center"/>
            </w:pPr>
            <w:r>
              <w:rPr>
                <w:rFonts w:hint="eastAsia" w:ascii="宋体" w:hAnsi="宋体" w:cs="宋体"/>
                <w:color w:val="000000"/>
                <w:sz w:val="20"/>
                <w:szCs w:val="20"/>
              </w:rPr>
              <w:t>-</w:t>
            </w:r>
          </w:p>
        </w:tc>
        <w:tc>
          <w:tcPr>
            <w:tcW w:w="821" w:type="dxa"/>
            <w:tcBorders>
              <w:top w:val="single" w:color="000000" w:sz="4" w:space="0"/>
              <w:left w:val="single" w:color="000000" w:sz="4" w:space="0"/>
              <w:bottom w:val="single" w:color="000000" w:sz="4" w:space="0"/>
              <w:right w:val="single" w:color="000000" w:sz="4" w:space="0"/>
            </w:tcBorders>
          </w:tcPr>
          <w:p>
            <w:pPr>
              <w:jc w:val="center"/>
            </w:pPr>
            <w:r>
              <w:rPr>
                <w:rFonts w:hint="eastAsia" w:ascii="宋体" w:hAnsi="宋体" w:cs="宋体"/>
                <w:color w:val="000000"/>
                <w:sz w:val="20"/>
                <w:szCs w:val="20"/>
              </w:rPr>
              <w:t>-</w:t>
            </w:r>
          </w:p>
        </w:tc>
        <w:tc>
          <w:tcPr>
            <w:tcW w:w="715" w:type="dxa"/>
            <w:tcBorders>
              <w:top w:val="single" w:color="000000" w:sz="4" w:space="0"/>
              <w:left w:val="single" w:color="000000" w:sz="4" w:space="0"/>
              <w:bottom w:val="single" w:color="000000" w:sz="4" w:space="0"/>
              <w:right w:val="single" w:color="000000" w:sz="4" w:space="0"/>
            </w:tcBorders>
          </w:tcPr>
          <w:p>
            <w:pPr>
              <w:jc w:val="center"/>
            </w:pPr>
            <w:r>
              <w:rPr>
                <w:rFonts w:hint="eastAsia" w:ascii="宋体" w:hAnsi="宋体" w:cs="宋体"/>
                <w:color w:val="000000"/>
                <w:sz w:val="20"/>
                <w:szCs w:val="20"/>
              </w:rPr>
              <w:t>-</w:t>
            </w:r>
          </w:p>
        </w:tc>
        <w:tc>
          <w:tcPr>
            <w:tcW w:w="880" w:type="dxa"/>
            <w:tcBorders>
              <w:top w:val="single" w:color="000000" w:sz="4" w:space="0"/>
              <w:left w:val="single" w:color="000000" w:sz="4" w:space="0"/>
              <w:bottom w:val="single" w:color="000000" w:sz="4" w:space="0"/>
              <w:right w:val="single" w:color="000000" w:sz="4" w:space="0"/>
            </w:tcBorders>
          </w:tcPr>
          <w:p>
            <w:pPr>
              <w:jc w:val="center"/>
            </w:pPr>
            <w:r>
              <w:rPr>
                <w:rFonts w:hint="eastAsia" w:ascii="宋体" w:hAnsi="宋体" w:cs="宋体"/>
                <w:color w:val="000000"/>
                <w:sz w:val="20"/>
                <w:szCs w:val="20"/>
              </w:rPr>
              <w:t>-</w:t>
            </w:r>
          </w:p>
        </w:tc>
        <w:tc>
          <w:tcPr>
            <w:tcW w:w="408" w:type="dxa"/>
            <w:tcBorders>
              <w:top w:val="single" w:color="000000" w:sz="4" w:space="0"/>
              <w:left w:val="single" w:color="000000" w:sz="4" w:space="0"/>
              <w:bottom w:val="single" w:color="000000" w:sz="4" w:space="0"/>
              <w:right w:val="single" w:color="000000" w:sz="4" w:space="0"/>
            </w:tcBorders>
          </w:tcPr>
          <w:p>
            <w:pPr>
              <w:jc w:val="center"/>
            </w:pPr>
            <w:r>
              <w:rPr>
                <w:rFonts w:hint="eastAsia" w:ascii="宋体" w:hAnsi="宋体" w:cs="宋体"/>
                <w:color w:val="000000"/>
                <w:sz w:val="20"/>
                <w:szCs w:val="20"/>
              </w:rPr>
              <w:t>-</w:t>
            </w:r>
          </w:p>
        </w:tc>
        <w:tc>
          <w:tcPr>
            <w:tcW w:w="443" w:type="dxa"/>
            <w:tcBorders>
              <w:top w:val="single" w:color="000000" w:sz="4" w:space="0"/>
              <w:left w:val="single" w:color="000000" w:sz="4" w:space="0"/>
              <w:bottom w:val="single" w:color="000000" w:sz="4" w:space="0"/>
              <w:right w:val="single" w:color="000000" w:sz="4" w:space="0"/>
            </w:tcBorders>
          </w:tcPr>
          <w:p>
            <w:pPr>
              <w:jc w:val="center"/>
            </w:pPr>
            <w:r>
              <w:rPr>
                <w:rFonts w:hint="eastAsia" w:ascii="宋体" w:hAnsi="宋体" w:cs="宋体"/>
                <w:color w:val="000000"/>
                <w:sz w:val="20"/>
                <w:szCs w:val="20"/>
              </w:rPr>
              <w:t>-</w:t>
            </w:r>
          </w:p>
        </w:tc>
        <w:tc>
          <w:tcPr>
            <w:tcW w:w="554" w:type="dxa"/>
            <w:tcBorders>
              <w:top w:val="single" w:color="000000" w:sz="4" w:space="0"/>
              <w:left w:val="single" w:color="000000" w:sz="4" w:space="0"/>
              <w:bottom w:val="single" w:color="000000" w:sz="4" w:space="0"/>
              <w:right w:val="single" w:color="000000" w:sz="4" w:space="0"/>
            </w:tcBorders>
          </w:tcPr>
          <w:p>
            <w:pPr>
              <w:jc w:val="center"/>
            </w:pPr>
            <w:r>
              <w:rPr>
                <w:rFonts w:hint="eastAsia" w:ascii="宋体" w:hAnsi="宋体" w:cs="宋体"/>
                <w:color w:val="000000"/>
                <w:sz w:val="20"/>
                <w:szCs w:val="20"/>
              </w:rPr>
              <w:t>-</w:t>
            </w:r>
          </w:p>
        </w:tc>
      </w:tr>
      <w:tr>
        <w:tblPrEx>
          <w:tblCellMar>
            <w:top w:w="15" w:type="dxa"/>
            <w:left w:w="15" w:type="dxa"/>
            <w:bottom w:w="15" w:type="dxa"/>
            <w:right w:w="15" w:type="dxa"/>
          </w:tblCellMar>
        </w:tblPrEx>
        <w:trPr>
          <w:trHeight w:val="300" w:hRule="atLeast"/>
        </w:trPr>
        <w:tc>
          <w:tcPr>
            <w:tcW w:w="783" w:type="dxa"/>
            <w:tcBorders>
              <w:top w:val="single" w:color="000000" w:sz="4" w:space="0"/>
              <w:left w:val="single" w:color="000000" w:sz="4" w:space="0"/>
              <w:bottom w:val="single" w:color="000000" w:sz="4" w:space="0"/>
              <w:right w:val="single" w:color="000000" w:sz="4" w:space="0"/>
            </w:tcBorders>
          </w:tcPr>
          <w:p>
            <w:pPr>
              <w:jc w:val="center"/>
            </w:pPr>
            <w:r>
              <w:rPr>
                <w:rFonts w:hint="eastAsia" w:ascii="宋体" w:hAnsi="宋体" w:cs="宋体"/>
                <w:color w:val="000000"/>
                <w:sz w:val="20"/>
                <w:szCs w:val="20"/>
              </w:rPr>
              <w:t>-</w:t>
            </w:r>
          </w:p>
        </w:tc>
        <w:tc>
          <w:tcPr>
            <w:tcW w:w="537" w:type="dxa"/>
            <w:tcBorders>
              <w:top w:val="single" w:color="000000" w:sz="4" w:space="0"/>
              <w:left w:val="single" w:color="000000" w:sz="4" w:space="0"/>
              <w:bottom w:val="single" w:color="000000" w:sz="4" w:space="0"/>
              <w:right w:val="single" w:color="000000" w:sz="4" w:space="0"/>
            </w:tcBorders>
          </w:tcPr>
          <w:p>
            <w:pPr>
              <w:jc w:val="center"/>
            </w:pPr>
            <w:r>
              <w:rPr>
                <w:rFonts w:hint="eastAsia" w:ascii="宋体" w:hAnsi="宋体" w:cs="宋体"/>
                <w:color w:val="000000"/>
                <w:sz w:val="20"/>
                <w:szCs w:val="20"/>
              </w:rPr>
              <w:t>-</w:t>
            </w:r>
          </w:p>
        </w:tc>
        <w:tc>
          <w:tcPr>
            <w:tcW w:w="738" w:type="dxa"/>
            <w:tcBorders>
              <w:top w:val="single" w:color="000000" w:sz="4" w:space="0"/>
              <w:left w:val="single" w:color="000000" w:sz="4" w:space="0"/>
              <w:bottom w:val="single" w:color="000000" w:sz="4" w:space="0"/>
              <w:right w:val="single" w:color="000000" w:sz="4" w:space="0"/>
            </w:tcBorders>
          </w:tcPr>
          <w:p>
            <w:pPr>
              <w:jc w:val="center"/>
            </w:pPr>
            <w:r>
              <w:rPr>
                <w:rFonts w:hint="eastAsia" w:ascii="宋体" w:hAnsi="宋体" w:cs="宋体"/>
                <w:color w:val="000000"/>
                <w:sz w:val="20"/>
                <w:szCs w:val="20"/>
              </w:rPr>
              <w:t>-</w:t>
            </w:r>
          </w:p>
        </w:tc>
        <w:tc>
          <w:tcPr>
            <w:tcW w:w="2627" w:type="dxa"/>
            <w:tcBorders>
              <w:top w:val="single" w:color="000000" w:sz="4" w:space="0"/>
              <w:left w:val="single" w:color="000000" w:sz="4" w:space="0"/>
              <w:bottom w:val="single" w:color="000000" w:sz="4" w:space="0"/>
              <w:right w:val="single" w:color="000000" w:sz="4" w:space="0"/>
            </w:tcBorders>
          </w:tcPr>
          <w:p>
            <w:pPr>
              <w:jc w:val="center"/>
            </w:pPr>
            <w:r>
              <w:rPr>
                <w:rFonts w:hint="eastAsia" w:ascii="宋体" w:hAnsi="宋体" w:cs="宋体"/>
                <w:color w:val="000000"/>
                <w:sz w:val="20"/>
                <w:szCs w:val="20"/>
              </w:rPr>
              <w:t>-</w:t>
            </w:r>
          </w:p>
        </w:tc>
        <w:tc>
          <w:tcPr>
            <w:tcW w:w="2627" w:type="dxa"/>
            <w:tcBorders>
              <w:top w:val="single" w:color="000000" w:sz="4" w:space="0"/>
              <w:left w:val="single" w:color="000000" w:sz="4" w:space="0"/>
              <w:bottom w:val="single" w:color="000000" w:sz="4" w:space="0"/>
              <w:right w:val="single" w:color="000000" w:sz="4" w:space="0"/>
            </w:tcBorders>
          </w:tcPr>
          <w:p>
            <w:pPr>
              <w:jc w:val="center"/>
            </w:pPr>
            <w:r>
              <w:rPr>
                <w:rFonts w:hint="eastAsia" w:ascii="宋体" w:hAnsi="宋体" w:cs="宋体"/>
                <w:color w:val="000000"/>
                <w:sz w:val="20"/>
                <w:szCs w:val="20"/>
              </w:rPr>
              <w:t>-</w:t>
            </w:r>
          </w:p>
        </w:tc>
        <w:tc>
          <w:tcPr>
            <w:tcW w:w="821" w:type="dxa"/>
            <w:tcBorders>
              <w:top w:val="single" w:color="000000" w:sz="4" w:space="0"/>
              <w:left w:val="single" w:color="000000" w:sz="4" w:space="0"/>
              <w:bottom w:val="single" w:color="000000" w:sz="4" w:space="0"/>
              <w:right w:val="single" w:color="000000" w:sz="4" w:space="0"/>
            </w:tcBorders>
          </w:tcPr>
          <w:p>
            <w:pPr>
              <w:jc w:val="center"/>
            </w:pPr>
            <w:r>
              <w:rPr>
                <w:rFonts w:hint="eastAsia" w:ascii="宋体" w:hAnsi="宋体" w:cs="宋体"/>
                <w:color w:val="000000"/>
                <w:sz w:val="20"/>
                <w:szCs w:val="20"/>
              </w:rPr>
              <w:t>-</w:t>
            </w:r>
          </w:p>
        </w:tc>
        <w:tc>
          <w:tcPr>
            <w:tcW w:w="715" w:type="dxa"/>
            <w:tcBorders>
              <w:top w:val="single" w:color="000000" w:sz="4" w:space="0"/>
              <w:left w:val="single" w:color="000000" w:sz="4" w:space="0"/>
              <w:bottom w:val="single" w:color="000000" w:sz="4" w:space="0"/>
              <w:right w:val="single" w:color="000000" w:sz="4" w:space="0"/>
            </w:tcBorders>
          </w:tcPr>
          <w:p>
            <w:pPr>
              <w:jc w:val="center"/>
            </w:pPr>
            <w:r>
              <w:rPr>
                <w:rFonts w:hint="eastAsia" w:ascii="宋体" w:hAnsi="宋体" w:cs="宋体"/>
                <w:color w:val="000000"/>
                <w:sz w:val="20"/>
                <w:szCs w:val="20"/>
              </w:rPr>
              <w:t>-</w:t>
            </w:r>
          </w:p>
        </w:tc>
        <w:tc>
          <w:tcPr>
            <w:tcW w:w="880" w:type="dxa"/>
            <w:tcBorders>
              <w:top w:val="single" w:color="000000" w:sz="4" w:space="0"/>
              <w:left w:val="single" w:color="000000" w:sz="4" w:space="0"/>
              <w:bottom w:val="single" w:color="000000" w:sz="4" w:space="0"/>
              <w:right w:val="single" w:color="000000" w:sz="4" w:space="0"/>
            </w:tcBorders>
          </w:tcPr>
          <w:p>
            <w:pPr>
              <w:jc w:val="center"/>
            </w:pPr>
            <w:r>
              <w:rPr>
                <w:rFonts w:hint="eastAsia" w:ascii="宋体" w:hAnsi="宋体" w:cs="宋体"/>
                <w:color w:val="000000"/>
                <w:sz w:val="20"/>
                <w:szCs w:val="20"/>
              </w:rPr>
              <w:t>-</w:t>
            </w:r>
          </w:p>
        </w:tc>
        <w:tc>
          <w:tcPr>
            <w:tcW w:w="408" w:type="dxa"/>
            <w:tcBorders>
              <w:top w:val="single" w:color="000000" w:sz="4" w:space="0"/>
              <w:left w:val="single" w:color="000000" w:sz="4" w:space="0"/>
              <w:bottom w:val="single" w:color="000000" w:sz="4" w:space="0"/>
              <w:right w:val="single" w:color="000000" w:sz="4" w:space="0"/>
            </w:tcBorders>
          </w:tcPr>
          <w:p>
            <w:pPr>
              <w:jc w:val="center"/>
            </w:pPr>
            <w:r>
              <w:rPr>
                <w:rFonts w:hint="eastAsia" w:ascii="宋体" w:hAnsi="宋体" w:cs="宋体"/>
                <w:color w:val="000000"/>
                <w:sz w:val="20"/>
                <w:szCs w:val="20"/>
              </w:rPr>
              <w:t>-</w:t>
            </w:r>
          </w:p>
        </w:tc>
        <w:tc>
          <w:tcPr>
            <w:tcW w:w="443" w:type="dxa"/>
            <w:tcBorders>
              <w:top w:val="single" w:color="000000" w:sz="4" w:space="0"/>
              <w:left w:val="single" w:color="000000" w:sz="4" w:space="0"/>
              <w:bottom w:val="single" w:color="000000" w:sz="4" w:space="0"/>
              <w:right w:val="single" w:color="000000" w:sz="4" w:space="0"/>
            </w:tcBorders>
          </w:tcPr>
          <w:p>
            <w:pPr>
              <w:jc w:val="center"/>
            </w:pPr>
            <w:r>
              <w:rPr>
                <w:rFonts w:hint="eastAsia" w:ascii="宋体" w:hAnsi="宋体" w:cs="宋体"/>
                <w:color w:val="000000"/>
                <w:sz w:val="20"/>
                <w:szCs w:val="20"/>
              </w:rPr>
              <w:t>-</w:t>
            </w:r>
          </w:p>
        </w:tc>
        <w:tc>
          <w:tcPr>
            <w:tcW w:w="554" w:type="dxa"/>
            <w:tcBorders>
              <w:top w:val="single" w:color="000000" w:sz="4" w:space="0"/>
              <w:left w:val="single" w:color="000000" w:sz="4" w:space="0"/>
              <w:bottom w:val="single" w:color="000000" w:sz="4" w:space="0"/>
              <w:right w:val="single" w:color="000000" w:sz="4" w:space="0"/>
            </w:tcBorders>
          </w:tcPr>
          <w:p>
            <w:pPr>
              <w:jc w:val="center"/>
            </w:pPr>
            <w:r>
              <w:rPr>
                <w:rFonts w:hint="eastAsia" w:ascii="宋体" w:hAnsi="宋体" w:cs="宋体"/>
                <w:color w:val="000000"/>
                <w:sz w:val="20"/>
                <w:szCs w:val="20"/>
              </w:rPr>
              <w:t>-</w:t>
            </w:r>
          </w:p>
        </w:tc>
      </w:tr>
      <w:tr>
        <w:tblPrEx>
          <w:tblCellMar>
            <w:top w:w="15" w:type="dxa"/>
            <w:left w:w="15" w:type="dxa"/>
            <w:bottom w:w="15" w:type="dxa"/>
            <w:right w:w="15" w:type="dxa"/>
          </w:tblCellMar>
        </w:tblPrEx>
        <w:trPr>
          <w:trHeight w:val="450" w:hRule="atLeast"/>
        </w:trPr>
        <w:tc>
          <w:tcPr>
            <w:tcW w:w="11133" w:type="dxa"/>
            <w:gridSpan w:val="11"/>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备注：新增债券额度由各地州市统筹分配至地州市本级、所辖县市区；各地县的新增债券项目具体安排，由当地按程序报本级人大批准，未在此表中列示。</w:t>
            </w:r>
          </w:p>
        </w:tc>
      </w:tr>
    </w:tbl>
    <w:tbl>
      <w:tblPr>
        <w:tblStyle w:val="5"/>
        <w:tblW w:w="9850" w:type="dxa"/>
        <w:tblInd w:w="-624" w:type="dxa"/>
        <w:tblLayout w:type="fixed"/>
        <w:tblCellMar>
          <w:top w:w="15" w:type="dxa"/>
          <w:left w:w="15" w:type="dxa"/>
          <w:bottom w:w="15" w:type="dxa"/>
          <w:right w:w="15" w:type="dxa"/>
        </w:tblCellMar>
      </w:tblPr>
      <w:tblGrid>
        <w:gridCol w:w="2316"/>
        <w:gridCol w:w="1584"/>
        <w:gridCol w:w="1580"/>
        <w:gridCol w:w="2180"/>
        <w:gridCol w:w="2190"/>
      </w:tblGrid>
      <w:tr>
        <w:tblPrEx>
          <w:tblCellMar>
            <w:top w:w="15" w:type="dxa"/>
            <w:left w:w="15" w:type="dxa"/>
            <w:bottom w:w="15" w:type="dxa"/>
            <w:right w:w="15" w:type="dxa"/>
          </w:tblCellMar>
        </w:tblPrEx>
        <w:trPr>
          <w:trHeight w:val="525" w:hRule="atLeast"/>
        </w:trPr>
        <w:tc>
          <w:tcPr>
            <w:tcW w:w="9850" w:type="dxa"/>
            <w:gridSpan w:val="5"/>
            <w:vAlign w:val="center"/>
          </w:tcPr>
          <w:p>
            <w:pPr>
              <w:widowControl/>
              <w:jc w:val="left"/>
              <w:textAlignment w:val="center"/>
              <w:rPr>
                <w:rFonts w:hint="default" w:ascii="宋体" w:hAnsi="宋体" w:eastAsia="宋体" w:cs="宋体"/>
                <w:b/>
                <w:color w:val="000000"/>
                <w:kern w:val="0"/>
                <w:sz w:val="20"/>
                <w:szCs w:val="20"/>
                <w:lang w:val="en-US" w:eastAsia="zh-CN" w:bidi="ar"/>
              </w:rPr>
            </w:pPr>
            <w:r>
              <w:rPr>
                <w:rFonts w:hint="eastAsia" w:ascii="宋体" w:hAnsi="宋体" w:cs="宋体"/>
                <w:color w:val="000000"/>
                <w:kern w:val="0"/>
                <w:sz w:val="20"/>
                <w:szCs w:val="20"/>
                <w:lang w:bidi="ar"/>
              </w:rPr>
              <w:t>表</w:t>
            </w:r>
            <w:r>
              <w:rPr>
                <w:rFonts w:hint="eastAsia" w:ascii="宋体" w:hAnsi="宋体" w:cs="宋体"/>
                <w:color w:val="000000"/>
                <w:kern w:val="0"/>
                <w:sz w:val="20"/>
                <w:szCs w:val="20"/>
                <w:lang w:val="en-US" w:eastAsia="zh-CN" w:bidi="ar"/>
              </w:rPr>
              <w:t>19</w:t>
            </w:r>
          </w:p>
        </w:tc>
      </w:tr>
      <w:tr>
        <w:tblPrEx>
          <w:tblCellMar>
            <w:top w:w="15" w:type="dxa"/>
            <w:left w:w="15" w:type="dxa"/>
            <w:bottom w:w="15" w:type="dxa"/>
            <w:right w:w="15" w:type="dxa"/>
          </w:tblCellMar>
        </w:tblPrEx>
        <w:trPr>
          <w:trHeight w:val="525" w:hRule="atLeast"/>
        </w:trPr>
        <w:tc>
          <w:tcPr>
            <w:tcW w:w="9850" w:type="dxa"/>
            <w:gridSpan w:val="5"/>
            <w:vAlign w:val="center"/>
          </w:tcPr>
          <w:p>
            <w:pPr>
              <w:widowControl/>
              <w:jc w:val="center"/>
              <w:textAlignment w:val="center"/>
              <w:rPr>
                <w:rFonts w:ascii="宋体" w:hAnsi="宋体" w:cs="宋体"/>
                <w:b/>
                <w:color w:val="000000"/>
                <w:sz w:val="20"/>
                <w:szCs w:val="20"/>
              </w:rPr>
            </w:pPr>
            <w:r>
              <w:rPr>
                <w:rFonts w:cs="宋体"/>
                <w:b/>
                <w:color w:val="000000"/>
                <w:kern w:val="0"/>
                <w:sz w:val="20"/>
                <w:szCs w:val="20"/>
                <w:lang w:bidi="ar"/>
              </w:rPr>
              <w:t>202</w:t>
            </w:r>
            <w:r>
              <w:rPr>
                <w:rFonts w:hint="eastAsia" w:cs="宋体"/>
                <w:b/>
                <w:color w:val="000000"/>
                <w:kern w:val="0"/>
                <w:sz w:val="20"/>
                <w:szCs w:val="20"/>
                <w:lang w:bidi="ar"/>
              </w:rPr>
              <w:t>2</w:t>
            </w:r>
            <w:r>
              <w:rPr>
                <w:rFonts w:hint="eastAsia" w:cs="宋体"/>
                <w:b/>
                <w:color w:val="000000"/>
                <w:kern w:val="0"/>
                <w:sz w:val="20"/>
                <w:szCs w:val="20"/>
                <w:lang w:eastAsia="zh-Hans" w:bidi="ar"/>
              </w:rPr>
              <w:t>年</w:t>
            </w:r>
            <w:r>
              <w:rPr>
                <w:rFonts w:hint="eastAsia" w:ascii="宋体" w:hAnsi="宋体" w:cs="宋体"/>
                <w:b/>
                <w:color w:val="000000"/>
                <w:kern w:val="0"/>
                <w:sz w:val="20"/>
                <w:szCs w:val="20"/>
                <w:lang w:val="en-US" w:eastAsia="zh-CN" w:bidi="ar"/>
              </w:rPr>
              <w:t>准东开发区</w:t>
            </w:r>
            <w:r>
              <w:rPr>
                <w:rFonts w:hint="eastAsia" w:ascii="宋体" w:hAnsi="宋体" w:cs="宋体"/>
                <w:b/>
                <w:color w:val="000000"/>
                <w:kern w:val="0"/>
                <w:sz w:val="20"/>
                <w:szCs w:val="20"/>
                <w:lang w:bidi="ar"/>
              </w:rPr>
              <w:t>专项债务表</w:t>
            </w:r>
          </w:p>
        </w:tc>
      </w:tr>
      <w:tr>
        <w:tblPrEx>
          <w:tblCellMar>
            <w:top w:w="15" w:type="dxa"/>
            <w:left w:w="15" w:type="dxa"/>
            <w:bottom w:w="15" w:type="dxa"/>
            <w:right w:w="15" w:type="dxa"/>
          </w:tblCellMar>
        </w:tblPrEx>
        <w:trPr>
          <w:trHeight w:val="375" w:hRule="atLeast"/>
        </w:trPr>
        <w:tc>
          <w:tcPr>
            <w:tcW w:w="2316" w:type="dxa"/>
            <w:vAlign w:val="center"/>
          </w:tcPr>
          <w:p>
            <w:pPr>
              <w:jc w:val="left"/>
              <w:rPr>
                <w:rFonts w:ascii="宋体" w:hAnsi="宋体" w:cs="宋体"/>
                <w:color w:val="000000"/>
                <w:sz w:val="20"/>
                <w:szCs w:val="20"/>
              </w:rPr>
            </w:pPr>
          </w:p>
        </w:tc>
        <w:tc>
          <w:tcPr>
            <w:tcW w:w="1584" w:type="dxa"/>
            <w:vAlign w:val="center"/>
          </w:tcPr>
          <w:p>
            <w:pPr>
              <w:rPr>
                <w:rFonts w:ascii="宋体" w:hAnsi="宋体" w:cs="宋体"/>
                <w:color w:val="000000"/>
                <w:sz w:val="20"/>
                <w:szCs w:val="20"/>
              </w:rPr>
            </w:pPr>
          </w:p>
        </w:tc>
        <w:tc>
          <w:tcPr>
            <w:tcW w:w="1580" w:type="dxa"/>
            <w:vAlign w:val="center"/>
          </w:tcPr>
          <w:p>
            <w:pPr>
              <w:rPr>
                <w:rFonts w:ascii="宋体" w:hAnsi="宋体" w:cs="宋体"/>
                <w:color w:val="000000"/>
                <w:sz w:val="20"/>
                <w:szCs w:val="20"/>
              </w:rPr>
            </w:pPr>
          </w:p>
        </w:tc>
        <w:tc>
          <w:tcPr>
            <w:tcW w:w="2180" w:type="dxa"/>
            <w:vAlign w:val="center"/>
          </w:tcPr>
          <w:p>
            <w:pPr>
              <w:rPr>
                <w:rFonts w:ascii="宋体" w:hAnsi="宋体" w:cs="宋体"/>
                <w:color w:val="000000"/>
                <w:sz w:val="20"/>
                <w:szCs w:val="20"/>
              </w:rPr>
            </w:pPr>
          </w:p>
        </w:tc>
        <w:tc>
          <w:tcPr>
            <w:tcW w:w="2190" w:type="dxa"/>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单位：亿元</w:t>
            </w:r>
          </w:p>
        </w:tc>
      </w:tr>
      <w:tr>
        <w:tblPrEx>
          <w:tblCellMar>
            <w:top w:w="15" w:type="dxa"/>
            <w:left w:w="15" w:type="dxa"/>
            <w:bottom w:w="15" w:type="dxa"/>
            <w:right w:w="15" w:type="dxa"/>
          </w:tblCellMar>
        </w:tblPrEx>
        <w:trPr>
          <w:trHeight w:val="525" w:hRule="atLeast"/>
        </w:trPr>
        <w:tc>
          <w:tcPr>
            <w:tcW w:w="23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地区</w:t>
            </w:r>
          </w:p>
        </w:tc>
        <w:tc>
          <w:tcPr>
            <w:tcW w:w="1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专项债券收入</w:t>
            </w: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专项债券支出</w:t>
            </w:r>
          </w:p>
        </w:tc>
        <w:tc>
          <w:tcPr>
            <w:tcW w:w="2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专项债券还本付息</w:t>
            </w:r>
          </w:p>
        </w:tc>
        <w:tc>
          <w:tcPr>
            <w:tcW w:w="21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专项收入情况</w:t>
            </w:r>
          </w:p>
        </w:tc>
      </w:tr>
      <w:tr>
        <w:tblPrEx>
          <w:tblCellMar>
            <w:top w:w="15" w:type="dxa"/>
            <w:left w:w="15" w:type="dxa"/>
            <w:bottom w:w="15" w:type="dxa"/>
            <w:right w:w="15" w:type="dxa"/>
          </w:tblCellMar>
        </w:tblPrEx>
        <w:trPr>
          <w:trHeight w:val="525" w:hRule="atLeast"/>
        </w:trPr>
        <w:tc>
          <w:tcPr>
            <w:tcW w:w="23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准东开发区</w:t>
            </w:r>
          </w:p>
        </w:tc>
        <w:tc>
          <w:tcPr>
            <w:tcW w:w="1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rFonts w:hint="eastAsia" w:ascii="宋体" w:hAnsi="宋体" w:cs="宋体"/>
                <w:color w:val="000000"/>
                <w:kern w:val="0"/>
                <w:sz w:val="20"/>
                <w:szCs w:val="20"/>
                <w:lang w:bidi="ar"/>
              </w:rPr>
              <w:t>-</w:t>
            </w: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rFonts w:hint="eastAsia" w:ascii="宋体" w:hAnsi="宋体" w:cs="宋体"/>
                <w:color w:val="000000"/>
                <w:kern w:val="0"/>
                <w:sz w:val="20"/>
                <w:szCs w:val="20"/>
                <w:lang w:bidi="ar"/>
              </w:rPr>
              <w:t>-</w:t>
            </w:r>
          </w:p>
        </w:tc>
        <w:tc>
          <w:tcPr>
            <w:tcW w:w="2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rFonts w:hint="eastAsia" w:ascii="宋体" w:hAnsi="宋体" w:cs="宋体"/>
                <w:color w:val="000000"/>
                <w:kern w:val="0"/>
                <w:sz w:val="20"/>
                <w:szCs w:val="20"/>
                <w:lang w:bidi="ar"/>
              </w:rPr>
              <w:t>-</w:t>
            </w:r>
          </w:p>
        </w:tc>
        <w:tc>
          <w:tcPr>
            <w:tcW w:w="21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rFonts w:hint="eastAsia" w:ascii="宋体" w:hAnsi="宋体" w:cs="宋体"/>
                <w:color w:val="000000"/>
                <w:kern w:val="0"/>
                <w:sz w:val="20"/>
                <w:szCs w:val="20"/>
                <w:lang w:bidi="ar"/>
              </w:rPr>
              <w:t>-</w:t>
            </w:r>
          </w:p>
        </w:tc>
      </w:tr>
    </w:tbl>
    <w:p>
      <w:pPr>
        <w:spacing w:before="58"/>
        <w:ind w:right="499"/>
        <w:rPr>
          <w:lang w:eastAsia="zh-Hans"/>
        </w:rPr>
      </w:pPr>
    </w:p>
    <w:tbl>
      <w:tblPr>
        <w:tblStyle w:val="5"/>
        <w:tblpPr w:leftFromText="180" w:rightFromText="180" w:vertAnchor="text" w:horzAnchor="page" w:tblpX="377" w:tblpY="330"/>
        <w:tblOverlap w:val="never"/>
        <w:tblW w:w="11218" w:type="dxa"/>
        <w:tblInd w:w="0" w:type="dxa"/>
        <w:tblLayout w:type="fixed"/>
        <w:tblCellMar>
          <w:top w:w="15" w:type="dxa"/>
          <w:left w:w="15" w:type="dxa"/>
          <w:bottom w:w="15" w:type="dxa"/>
          <w:right w:w="15" w:type="dxa"/>
        </w:tblCellMar>
      </w:tblPr>
      <w:tblGrid>
        <w:gridCol w:w="710"/>
        <w:gridCol w:w="1515"/>
        <w:gridCol w:w="1560"/>
        <w:gridCol w:w="2610"/>
        <w:gridCol w:w="900"/>
        <w:gridCol w:w="1050"/>
        <w:gridCol w:w="1110"/>
        <w:gridCol w:w="540"/>
        <w:gridCol w:w="495"/>
        <w:gridCol w:w="728"/>
      </w:tblGrid>
      <w:tr>
        <w:tblPrEx>
          <w:tblCellMar>
            <w:top w:w="15" w:type="dxa"/>
            <w:left w:w="15" w:type="dxa"/>
            <w:bottom w:w="15" w:type="dxa"/>
            <w:right w:w="15" w:type="dxa"/>
          </w:tblCellMar>
        </w:tblPrEx>
        <w:trPr>
          <w:trHeight w:val="495" w:hRule="atLeast"/>
        </w:trPr>
        <w:tc>
          <w:tcPr>
            <w:tcW w:w="11218" w:type="dxa"/>
            <w:gridSpan w:val="10"/>
            <w:vAlign w:val="center"/>
          </w:tcPr>
          <w:p>
            <w:pPr>
              <w:widowControl/>
              <w:jc w:val="left"/>
              <w:textAlignment w:val="center"/>
              <w:rPr>
                <w:rFonts w:hint="default" w:ascii="宋体" w:hAnsi="宋体" w:eastAsia="宋体" w:cs="宋体"/>
                <w:b/>
                <w:color w:val="000000"/>
                <w:kern w:val="0"/>
                <w:sz w:val="20"/>
                <w:szCs w:val="20"/>
                <w:lang w:val="en-US" w:eastAsia="zh-CN" w:bidi="ar"/>
              </w:rPr>
            </w:pPr>
            <w:r>
              <w:rPr>
                <w:rFonts w:hint="eastAsia" w:ascii="宋体" w:hAnsi="宋体" w:cs="宋体"/>
                <w:color w:val="000000"/>
                <w:kern w:val="0"/>
                <w:sz w:val="20"/>
                <w:szCs w:val="20"/>
                <w:lang w:eastAsia="zh-Hans" w:bidi="ar"/>
              </w:rPr>
              <w:t>表</w:t>
            </w:r>
            <w:r>
              <w:rPr>
                <w:rFonts w:hint="eastAsia" w:ascii="宋体" w:hAnsi="宋体" w:cs="宋体"/>
                <w:color w:val="000000"/>
                <w:kern w:val="0"/>
                <w:sz w:val="20"/>
                <w:szCs w:val="20"/>
                <w:lang w:val="en-US" w:eastAsia="zh-CN" w:bidi="ar"/>
              </w:rPr>
              <w:t>20</w:t>
            </w:r>
          </w:p>
        </w:tc>
      </w:tr>
      <w:tr>
        <w:tblPrEx>
          <w:tblCellMar>
            <w:top w:w="15" w:type="dxa"/>
            <w:left w:w="15" w:type="dxa"/>
            <w:bottom w:w="15" w:type="dxa"/>
            <w:right w:w="15" w:type="dxa"/>
          </w:tblCellMar>
        </w:tblPrEx>
        <w:trPr>
          <w:trHeight w:val="495" w:hRule="atLeast"/>
        </w:trPr>
        <w:tc>
          <w:tcPr>
            <w:tcW w:w="11218" w:type="dxa"/>
            <w:gridSpan w:val="10"/>
            <w:vAlign w:val="center"/>
          </w:tcPr>
          <w:p>
            <w:pPr>
              <w:widowControl/>
              <w:jc w:val="center"/>
              <w:textAlignment w:val="center"/>
              <w:rPr>
                <w:rFonts w:ascii="宋体" w:hAnsi="宋体" w:cs="宋体"/>
                <w:b/>
                <w:color w:val="000000"/>
                <w:kern w:val="0"/>
                <w:sz w:val="20"/>
                <w:szCs w:val="20"/>
                <w:lang w:bidi="ar"/>
              </w:rPr>
            </w:pPr>
            <w:r>
              <w:rPr>
                <w:rFonts w:cs="宋体"/>
                <w:b/>
                <w:color w:val="000000"/>
                <w:kern w:val="0"/>
                <w:sz w:val="20"/>
                <w:szCs w:val="20"/>
                <w:lang w:bidi="ar"/>
              </w:rPr>
              <w:t>202</w:t>
            </w:r>
            <w:r>
              <w:rPr>
                <w:rFonts w:hint="eastAsia" w:cs="宋体"/>
                <w:b/>
                <w:color w:val="000000"/>
                <w:kern w:val="0"/>
                <w:sz w:val="20"/>
                <w:szCs w:val="20"/>
                <w:lang w:bidi="ar"/>
              </w:rPr>
              <w:t>2</w:t>
            </w:r>
            <w:r>
              <w:rPr>
                <w:rFonts w:hint="eastAsia" w:cs="宋体"/>
                <w:b/>
                <w:color w:val="000000"/>
                <w:kern w:val="0"/>
                <w:sz w:val="20"/>
                <w:szCs w:val="20"/>
                <w:lang w:eastAsia="zh-Hans" w:bidi="ar"/>
              </w:rPr>
              <w:t>年</w:t>
            </w:r>
            <w:r>
              <w:rPr>
                <w:rFonts w:hint="eastAsia" w:ascii="宋体" w:hAnsi="宋体" w:cs="宋体"/>
                <w:b/>
                <w:color w:val="000000"/>
                <w:kern w:val="0"/>
                <w:sz w:val="20"/>
                <w:szCs w:val="20"/>
                <w:lang w:val="en-US" w:eastAsia="zh-CN" w:bidi="ar"/>
              </w:rPr>
              <w:t>准东开发区</w:t>
            </w:r>
            <w:r>
              <w:rPr>
                <w:rFonts w:hint="eastAsia" w:ascii="宋体" w:hAnsi="宋体" w:cs="宋体"/>
                <w:b/>
                <w:color w:val="000000"/>
                <w:kern w:val="0"/>
                <w:sz w:val="20"/>
                <w:szCs w:val="20"/>
                <w:lang w:bidi="ar"/>
              </w:rPr>
              <w:t>专项债券项目表</w:t>
            </w:r>
          </w:p>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单位：亿元</w:t>
            </w:r>
          </w:p>
        </w:tc>
      </w:tr>
      <w:tr>
        <w:tblPrEx>
          <w:tblCellMar>
            <w:top w:w="15" w:type="dxa"/>
            <w:left w:w="15" w:type="dxa"/>
            <w:bottom w:w="15" w:type="dxa"/>
            <w:right w:w="15" w:type="dxa"/>
          </w:tblCellMar>
        </w:tblPrEx>
        <w:trPr>
          <w:trHeight w:val="510" w:hRule="atLeast"/>
        </w:trPr>
        <w:tc>
          <w:tcPr>
            <w:tcW w:w="71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序号</w:t>
            </w:r>
          </w:p>
        </w:tc>
        <w:tc>
          <w:tcPr>
            <w:tcW w:w="151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主管部门</w:t>
            </w:r>
          </w:p>
        </w:tc>
        <w:tc>
          <w:tcPr>
            <w:tcW w:w="156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项目单位</w:t>
            </w:r>
          </w:p>
        </w:tc>
        <w:tc>
          <w:tcPr>
            <w:tcW w:w="261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项目名称</w:t>
            </w:r>
          </w:p>
        </w:tc>
        <w:tc>
          <w:tcPr>
            <w:tcW w:w="90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债券金额</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债券类型</w:t>
            </w:r>
          </w:p>
        </w:tc>
        <w:tc>
          <w:tcPr>
            <w:tcW w:w="111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偿还来源</w:t>
            </w:r>
          </w:p>
        </w:tc>
        <w:tc>
          <w:tcPr>
            <w:tcW w:w="54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债券期限</w:t>
            </w:r>
          </w:p>
        </w:tc>
        <w:tc>
          <w:tcPr>
            <w:tcW w:w="49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利率</w:t>
            </w:r>
          </w:p>
        </w:tc>
        <w:tc>
          <w:tcPr>
            <w:tcW w:w="72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债券存续期内还本付息</w:t>
            </w:r>
          </w:p>
        </w:tc>
      </w:tr>
      <w:tr>
        <w:tblPrEx>
          <w:tblCellMar>
            <w:top w:w="15" w:type="dxa"/>
            <w:left w:w="15" w:type="dxa"/>
            <w:bottom w:w="15" w:type="dxa"/>
            <w:right w:w="15" w:type="dxa"/>
          </w:tblCellMar>
        </w:tblPrEx>
        <w:trPr>
          <w:trHeight w:val="405"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合计</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szCs w:val="20"/>
              </w:rPr>
            </w:pPr>
            <w:r>
              <w:rPr>
                <w:rFonts w:hint="eastAsia" w:ascii="宋体" w:hAnsi="宋体" w:cs="宋体"/>
                <w:b/>
                <w:color w:val="000000"/>
                <w:sz w:val="20"/>
                <w:szCs w:val="20"/>
              </w:rPr>
              <w:t>-</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szCs w:val="20"/>
              </w:rPr>
            </w:pPr>
            <w:r>
              <w:rPr>
                <w:rFonts w:hint="eastAsia" w:ascii="宋体" w:hAnsi="宋体" w:cs="宋体"/>
                <w:b/>
                <w:color w:val="000000"/>
                <w:sz w:val="20"/>
                <w:szCs w:val="20"/>
              </w:rPr>
              <w:t>-</w:t>
            </w:r>
          </w:p>
        </w:tc>
        <w:tc>
          <w:tcPr>
            <w:tcW w:w="26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szCs w:val="20"/>
              </w:rPr>
            </w:pPr>
            <w:r>
              <w:rPr>
                <w:rFonts w:hint="eastAsia" w:ascii="宋体" w:hAnsi="宋体" w:cs="宋体"/>
                <w:b/>
                <w:color w:val="000000"/>
                <w:sz w:val="20"/>
                <w:szCs w:val="20"/>
              </w:rPr>
              <w:t>-</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szCs w:val="20"/>
              </w:rPr>
            </w:pPr>
            <w:r>
              <w:rPr>
                <w:rFonts w:hint="eastAsia" w:ascii="宋体" w:hAnsi="宋体" w:cs="宋体"/>
                <w:b/>
                <w:color w:val="000000"/>
                <w:sz w:val="20"/>
                <w:szCs w:val="20"/>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szCs w:val="20"/>
              </w:rPr>
            </w:pPr>
            <w:r>
              <w:rPr>
                <w:rFonts w:hint="eastAsia" w:ascii="宋体" w:hAnsi="宋体" w:cs="宋体"/>
                <w:b/>
                <w:color w:val="000000"/>
                <w:sz w:val="20"/>
                <w:szCs w:val="20"/>
              </w:rPr>
              <w:t>-</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szCs w:val="20"/>
              </w:rPr>
            </w:pPr>
            <w:r>
              <w:rPr>
                <w:rFonts w:hint="eastAsia" w:ascii="宋体" w:hAnsi="宋体" w:cs="宋体"/>
                <w:b/>
                <w:color w:val="000000"/>
                <w:sz w:val="20"/>
                <w:szCs w:val="20"/>
              </w:rPr>
              <w:t>-</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szCs w:val="20"/>
              </w:rPr>
            </w:pPr>
            <w:r>
              <w:rPr>
                <w:rFonts w:hint="eastAsia" w:ascii="宋体" w:hAnsi="宋体" w:cs="宋体"/>
                <w:b/>
                <w:color w:val="000000"/>
                <w:sz w:val="20"/>
                <w:szCs w:val="20"/>
              </w:rPr>
              <w:t>-</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szCs w:val="20"/>
              </w:rPr>
            </w:pPr>
            <w:r>
              <w:rPr>
                <w:rFonts w:hint="eastAsia" w:ascii="宋体" w:hAnsi="宋体" w:cs="宋体"/>
                <w:b/>
                <w:color w:val="000000"/>
                <w:sz w:val="20"/>
                <w:szCs w:val="20"/>
              </w:rPr>
              <w:t>-</w:t>
            </w:r>
          </w:p>
        </w:tc>
        <w:tc>
          <w:tcPr>
            <w:tcW w:w="7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szCs w:val="20"/>
              </w:rPr>
            </w:pPr>
            <w:r>
              <w:rPr>
                <w:rFonts w:hint="eastAsia" w:ascii="宋体" w:hAnsi="宋体" w:cs="宋体"/>
                <w:b/>
                <w:color w:val="000000"/>
                <w:sz w:val="20"/>
                <w:szCs w:val="20"/>
              </w:rPr>
              <w:t>-</w:t>
            </w:r>
          </w:p>
        </w:tc>
      </w:tr>
      <w:tr>
        <w:tblPrEx>
          <w:tblCellMar>
            <w:top w:w="15" w:type="dxa"/>
            <w:left w:w="15" w:type="dxa"/>
            <w:bottom w:w="15" w:type="dxa"/>
            <w:right w:w="15" w:type="dxa"/>
          </w:tblCellMar>
        </w:tblPrEx>
        <w:trPr>
          <w:trHeight w:val="405"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20"/>
                <w:szCs w:val="20"/>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p>
        </w:tc>
        <w:tc>
          <w:tcPr>
            <w:tcW w:w="7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p>
        </w:tc>
      </w:tr>
      <w:tr>
        <w:tblPrEx>
          <w:tblCellMar>
            <w:top w:w="15" w:type="dxa"/>
            <w:left w:w="15" w:type="dxa"/>
            <w:bottom w:w="15" w:type="dxa"/>
            <w:right w:w="15" w:type="dxa"/>
          </w:tblCellMar>
        </w:tblPrEx>
        <w:trPr>
          <w:trHeight w:val="405"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20"/>
                <w:szCs w:val="20"/>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p>
        </w:tc>
        <w:tc>
          <w:tcPr>
            <w:tcW w:w="7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p>
        </w:tc>
      </w:tr>
      <w:tr>
        <w:tblPrEx>
          <w:tblCellMar>
            <w:top w:w="15" w:type="dxa"/>
            <w:left w:w="15" w:type="dxa"/>
            <w:bottom w:w="15" w:type="dxa"/>
            <w:right w:w="15" w:type="dxa"/>
          </w:tblCellMar>
        </w:tblPrEx>
        <w:trPr>
          <w:trHeight w:val="405"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20"/>
                <w:szCs w:val="20"/>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p>
        </w:tc>
        <w:tc>
          <w:tcPr>
            <w:tcW w:w="7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szCs w:val="20"/>
              </w:rPr>
            </w:pPr>
          </w:p>
        </w:tc>
      </w:tr>
      <w:tr>
        <w:tblPrEx>
          <w:tblCellMar>
            <w:top w:w="15" w:type="dxa"/>
            <w:left w:w="15" w:type="dxa"/>
            <w:bottom w:w="15" w:type="dxa"/>
            <w:right w:w="15" w:type="dxa"/>
          </w:tblCellMar>
        </w:tblPrEx>
        <w:trPr>
          <w:trHeight w:val="405" w:hRule="atLeast"/>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szCs w:val="20"/>
              </w:rPr>
            </w:pPr>
          </w:p>
        </w:tc>
        <w:tc>
          <w:tcPr>
            <w:tcW w:w="15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color w:val="00000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color w:val="000000"/>
                <w:sz w:val="20"/>
                <w:szCs w:val="20"/>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color w:val="000000"/>
                <w:sz w:val="20"/>
                <w:szCs w:val="20"/>
              </w:rPr>
            </w:pPr>
          </w:p>
        </w:tc>
        <w:tc>
          <w:tcPr>
            <w:tcW w:w="5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color w:val="000000"/>
                <w:sz w:val="20"/>
                <w:szCs w:val="20"/>
              </w:rPr>
            </w:pPr>
          </w:p>
        </w:tc>
        <w:tc>
          <w:tcPr>
            <w:tcW w:w="49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color w:val="000000"/>
                <w:sz w:val="20"/>
                <w:szCs w:val="20"/>
              </w:rPr>
            </w:pPr>
          </w:p>
        </w:tc>
        <w:tc>
          <w:tcPr>
            <w:tcW w:w="72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color w:val="000000"/>
                <w:sz w:val="20"/>
                <w:szCs w:val="20"/>
              </w:rPr>
            </w:pPr>
          </w:p>
        </w:tc>
      </w:tr>
      <w:tr>
        <w:tblPrEx>
          <w:tblCellMar>
            <w:top w:w="15" w:type="dxa"/>
            <w:left w:w="15" w:type="dxa"/>
            <w:bottom w:w="15" w:type="dxa"/>
            <w:right w:w="15" w:type="dxa"/>
          </w:tblCellMar>
        </w:tblPrEx>
        <w:trPr>
          <w:trHeight w:val="540" w:hRule="atLeast"/>
        </w:trPr>
        <w:tc>
          <w:tcPr>
            <w:tcW w:w="11218" w:type="dxa"/>
            <w:gridSpan w:val="10"/>
            <w:tcBorders>
              <w:top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备注：所有专项债券在进入项目储备库之前，全部编制《项目实施方案》，全面反映项目收支预算总体平衡方案和分年平衡方案，并经过独立第三方进行评审。</w:t>
            </w:r>
          </w:p>
        </w:tc>
      </w:tr>
    </w:tbl>
    <w:p>
      <w:pPr>
        <w:widowControl/>
        <w:autoSpaceDE w:val="0"/>
        <w:autoSpaceDN w:val="0"/>
        <w:spacing w:line="560" w:lineRule="exact"/>
        <w:ind w:firstLine="627" w:firstLineChars="200"/>
        <w:jc w:val="left"/>
        <w:outlineLvl w:val="0"/>
        <w:rPr>
          <w:rFonts w:ascii="楷体" w:hAnsi="楷体" w:eastAsia="楷体"/>
          <w:b/>
          <w:spacing w:val="-4"/>
          <w:sz w:val="32"/>
          <w:szCs w:val="32"/>
        </w:rPr>
      </w:pPr>
      <w:r>
        <w:rPr>
          <w:rFonts w:ascii="楷体" w:hAnsi="楷体" w:eastAsia="楷体"/>
          <w:b/>
          <w:spacing w:val="-4"/>
          <w:sz w:val="32"/>
          <w:szCs w:val="32"/>
        </w:rPr>
        <w:t>一、202</w:t>
      </w:r>
      <w:r>
        <w:rPr>
          <w:rFonts w:hint="eastAsia" w:ascii="楷体" w:hAnsi="楷体" w:eastAsia="楷体"/>
          <w:b/>
          <w:spacing w:val="-4"/>
          <w:sz w:val="32"/>
          <w:szCs w:val="32"/>
        </w:rPr>
        <w:t>1</w:t>
      </w:r>
      <w:r>
        <w:rPr>
          <w:rFonts w:ascii="楷体" w:hAnsi="楷体" w:eastAsia="楷体"/>
          <w:b/>
          <w:spacing w:val="-4"/>
          <w:sz w:val="32"/>
          <w:szCs w:val="32"/>
        </w:rPr>
        <w:t>年度政府债务限额总体情况</w:t>
      </w:r>
    </w:p>
    <w:p>
      <w:pPr>
        <w:widowControl/>
        <w:autoSpaceDE w:val="0"/>
        <w:autoSpaceDN w:val="0"/>
        <w:spacing w:line="560" w:lineRule="exact"/>
        <w:ind w:firstLine="640" w:firstLineChars="200"/>
        <w:jc w:val="left"/>
        <w:outlineLvl w:val="0"/>
        <w:rPr>
          <w:rFonts w:ascii="仿宋_GB2312" w:hAnsi="仿宋" w:eastAsia="仿宋_GB2312" w:cs="仿宋"/>
          <w:color w:val="000000"/>
          <w:kern w:val="0"/>
          <w:sz w:val="32"/>
          <w:szCs w:val="32"/>
          <w:lang w:bidi="ar"/>
        </w:rPr>
      </w:pPr>
      <w:r>
        <w:rPr>
          <w:rFonts w:ascii="仿宋_GB2312" w:hAnsi="仿宋" w:eastAsia="仿宋_GB2312" w:cs="仿宋"/>
          <w:color w:val="000000"/>
          <w:kern w:val="0"/>
          <w:sz w:val="32"/>
          <w:szCs w:val="32"/>
          <w:lang w:bidi="ar"/>
        </w:rPr>
        <w:t>2</w:t>
      </w:r>
      <w:r>
        <w:rPr>
          <w:rFonts w:hint="eastAsia" w:ascii="仿宋_GB2312" w:hAnsi="仿宋" w:eastAsia="仿宋_GB2312" w:cs="仿宋"/>
          <w:color w:val="000000"/>
          <w:kern w:val="0"/>
          <w:sz w:val="32"/>
          <w:szCs w:val="32"/>
          <w:lang w:bidi="ar"/>
        </w:rPr>
        <w:t>021年度</w:t>
      </w:r>
      <w:r>
        <w:rPr>
          <w:rFonts w:hint="eastAsia" w:ascii="仿宋_GB2312" w:hAnsi="仿宋" w:eastAsia="仿宋_GB2312" w:cs="仿宋"/>
          <w:color w:val="000000"/>
          <w:kern w:val="0"/>
          <w:sz w:val="32"/>
          <w:szCs w:val="32"/>
          <w:lang w:val="en-US" w:eastAsia="zh-CN" w:bidi="ar"/>
        </w:rPr>
        <w:t>准东开发区</w:t>
      </w:r>
      <w:r>
        <w:rPr>
          <w:rFonts w:ascii="仿宋_GB2312" w:hAnsi="仿宋" w:eastAsia="仿宋_GB2312" w:cs="仿宋"/>
          <w:color w:val="000000"/>
          <w:kern w:val="0"/>
          <w:sz w:val="32"/>
          <w:szCs w:val="32"/>
          <w:lang w:bidi="ar"/>
        </w:rPr>
        <w:t>债务限额总额为</w:t>
      </w:r>
      <w:r>
        <w:rPr>
          <w:rFonts w:hint="eastAsia" w:ascii="Times New Roman" w:hAnsi="Times New Roman" w:eastAsia="仿宋_GB2312" w:cs="Times New Roman"/>
          <w:sz w:val="30"/>
          <w:szCs w:val="30"/>
          <w:lang w:val="en-US" w:eastAsia="zh-CN"/>
        </w:rPr>
        <w:t>24.02</w:t>
      </w:r>
      <w:r>
        <w:rPr>
          <w:rFonts w:ascii="仿宋_GB2312" w:hAnsi="仿宋" w:eastAsia="仿宋_GB2312" w:cs="仿宋"/>
          <w:color w:val="000000"/>
          <w:kern w:val="0"/>
          <w:sz w:val="32"/>
          <w:szCs w:val="32"/>
          <w:lang w:bidi="ar"/>
        </w:rPr>
        <w:t>亿元。</w:t>
      </w:r>
    </w:p>
    <w:p>
      <w:pPr>
        <w:adjustRightInd w:val="0"/>
        <w:snapToGrid w:val="0"/>
        <w:spacing w:line="560" w:lineRule="exact"/>
        <w:ind w:firstLine="602" w:firstLineChars="200"/>
        <w:rPr>
          <w:rFonts w:ascii="楷体_GB2312" w:hAnsi="楷体_GB2312" w:eastAsia="楷体_GB2312" w:cs="楷体_GB2312"/>
          <w:b/>
          <w:bCs/>
          <w:sz w:val="30"/>
          <w:szCs w:val="30"/>
        </w:rPr>
      </w:pPr>
      <w:r>
        <w:rPr>
          <w:rFonts w:hint="eastAsia" w:ascii="楷体_GB2312" w:hAnsi="楷体_GB2312" w:eastAsia="楷体_GB2312" w:cs="楷体_GB2312"/>
          <w:b/>
          <w:bCs/>
          <w:sz w:val="30"/>
          <w:szCs w:val="30"/>
        </w:rPr>
        <w:t>（一）</w:t>
      </w:r>
      <w:r>
        <w:rPr>
          <w:rFonts w:hint="eastAsia" w:ascii="Times New Roman" w:hAnsi="Times New Roman" w:eastAsia="楷体_GB2312"/>
          <w:b/>
          <w:bCs/>
          <w:sz w:val="30"/>
          <w:szCs w:val="30"/>
        </w:rPr>
        <w:t>政府</w:t>
      </w:r>
      <w:r>
        <w:rPr>
          <w:rFonts w:hint="eastAsia" w:ascii="楷体_GB2312" w:hAnsi="楷体_GB2312" w:eastAsia="楷体_GB2312" w:cs="楷体_GB2312"/>
          <w:b/>
          <w:bCs/>
          <w:sz w:val="30"/>
          <w:szCs w:val="30"/>
        </w:rPr>
        <w:t>债务限额分类型情况。</w:t>
      </w:r>
    </w:p>
    <w:p>
      <w:pPr>
        <w:adjustRightInd w:val="0"/>
        <w:snapToGrid w:val="0"/>
        <w:spacing w:line="560" w:lineRule="exact"/>
        <w:ind w:firstLine="643" w:firstLineChars="200"/>
        <w:rPr>
          <w:rFonts w:hint="default" w:ascii="Times New Roman" w:hAnsi="Times New Roman" w:eastAsia="仿宋_GB2312" w:cs="Times New Roman"/>
          <w:sz w:val="30"/>
          <w:szCs w:val="30"/>
          <w:lang w:val="en-US" w:eastAsia="zh-CN"/>
        </w:rPr>
      </w:pPr>
      <w:r>
        <w:rPr>
          <w:rFonts w:ascii="仿宋_GB2312" w:hAnsi="仿宋" w:eastAsia="仿宋_GB2312" w:cs="仿宋"/>
          <w:b/>
          <w:color w:val="000000"/>
          <w:kern w:val="0"/>
          <w:sz w:val="32"/>
          <w:szCs w:val="32"/>
          <w:lang w:bidi="ar"/>
        </w:rPr>
        <w:t>1.一般债务限额总额情况</w:t>
      </w:r>
      <w:r>
        <w:rPr>
          <w:rFonts w:hint="eastAsia" w:ascii="仿宋_GB2312" w:hAnsi="仿宋" w:eastAsia="仿宋_GB2312" w:cs="仿宋"/>
          <w:b/>
          <w:color w:val="000000"/>
          <w:kern w:val="0"/>
          <w:sz w:val="32"/>
          <w:szCs w:val="32"/>
          <w:lang w:bidi="ar"/>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年度</w:t>
      </w:r>
      <w:r>
        <w:rPr>
          <w:rFonts w:hint="eastAsia" w:ascii="Times New Roman" w:hAnsi="Times New Roman" w:eastAsia="仿宋_GB2312" w:cs="Times New Roman"/>
          <w:sz w:val="30"/>
          <w:szCs w:val="30"/>
          <w:lang w:val="en-US" w:eastAsia="zh-CN"/>
        </w:rPr>
        <w:t>准东开发区</w:t>
      </w:r>
      <w:r>
        <w:rPr>
          <w:rFonts w:hint="default" w:ascii="Times New Roman" w:hAnsi="Times New Roman" w:eastAsia="仿宋_GB2312" w:cs="Times New Roman"/>
          <w:sz w:val="30"/>
          <w:szCs w:val="30"/>
          <w:lang w:val="en-US" w:eastAsia="zh-CN"/>
        </w:rPr>
        <w:t>一般债务限额总额</w:t>
      </w:r>
      <w:r>
        <w:rPr>
          <w:rFonts w:hint="eastAsia" w:ascii="Times New Roman" w:hAnsi="Times New Roman" w:eastAsia="仿宋_GB2312" w:cs="Times New Roman"/>
          <w:sz w:val="30"/>
          <w:szCs w:val="30"/>
          <w:lang w:val="en-US" w:eastAsia="zh-CN"/>
        </w:rPr>
        <w:t>6.62</w:t>
      </w:r>
      <w:r>
        <w:rPr>
          <w:rFonts w:hint="default" w:ascii="Times New Roman" w:hAnsi="Times New Roman" w:eastAsia="仿宋_GB2312" w:cs="Times New Roman"/>
          <w:sz w:val="30"/>
          <w:szCs w:val="30"/>
          <w:lang w:val="en-US" w:eastAsia="zh-CN"/>
        </w:rPr>
        <w:t>亿元。</w:t>
      </w:r>
    </w:p>
    <w:p>
      <w:pPr>
        <w:adjustRightInd w:val="0"/>
        <w:snapToGrid w:val="0"/>
        <w:spacing w:line="560" w:lineRule="exact"/>
        <w:ind w:firstLine="643" w:firstLineChars="200"/>
        <w:rPr>
          <w:rFonts w:ascii="仿宋_GB2312" w:hAnsi="仿宋" w:eastAsia="仿宋_GB2312" w:cs="仿宋"/>
          <w:color w:val="000000"/>
          <w:kern w:val="0"/>
          <w:sz w:val="32"/>
          <w:szCs w:val="32"/>
          <w:lang w:bidi="ar"/>
        </w:rPr>
      </w:pPr>
      <w:r>
        <w:rPr>
          <w:rFonts w:ascii="仿宋_GB2312" w:hAnsi="仿宋" w:eastAsia="仿宋_GB2312" w:cs="仿宋"/>
          <w:b/>
          <w:color w:val="000000"/>
          <w:kern w:val="0"/>
          <w:sz w:val="32"/>
          <w:szCs w:val="32"/>
          <w:lang w:bidi="ar"/>
        </w:rPr>
        <w:t>2.专项债务限额总额情况</w:t>
      </w:r>
      <w:r>
        <w:rPr>
          <w:rFonts w:hint="eastAsia" w:ascii="仿宋_GB2312" w:hAnsi="仿宋" w:eastAsia="仿宋_GB2312" w:cs="仿宋"/>
          <w:b/>
          <w:color w:val="000000"/>
          <w:kern w:val="0"/>
          <w:sz w:val="32"/>
          <w:szCs w:val="32"/>
          <w:lang w:bidi="ar"/>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年度</w:t>
      </w:r>
      <w:r>
        <w:rPr>
          <w:rFonts w:hint="eastAsia" w:ascii="Times New Roman" w:hAnsi="Times New Roman" w:eastAsia="仿宋_GB2312" w:cs="Times New Roman"/>
          <w:sz w:val="30"/>
          <w:szCs w:val="30"/>
          <w:lang w:val="en-US" w:eastAsia="zh-CN"/>
        </w:rPr>
        <w:t>准东开发区</w:t>
      </w:r>
      <w:r>
        <w:rPr>
          <w:rFonts w:hint="default" w:ascii="Times New Roman" w:hAnsi="Times New Roman" w:eastAsia="仿宋_GB2312" w:cs="Times New Roman"/>
          <w:sz w:val="30"/>
          <w:szCs w:val="30"/>
          <w:lang w:val="en-US" w:eastAsia="zh-CN"/>
        </w:rPr>
        <w:t>专项债务限额总额为</w:t>
      </w:r>
      <w:r>
        <w:rPr>
          <w:rFonts w:hint="eastAsia" w:ascii="Times New Roman" w:hAnsi="Times New Roman" w:eastAsia="仿宋_GB2312" w:cs="Times New Roman"/>
          <w:sz w:val="30"/>
          <w:szCs w:val="30"/>
          <w:lang w:val="en-US" w:eastAsia="zh-CN"/>
        </w:rPr>
        <w:t>17.4</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w:t>
      </w:r>
    </w:p>
    <w:p>
      <w:pPr>
        <w:adjustRightInd w:val="0"/>
        <w:snapToGrid w:val="0"/>
        <w:spacing w:line="560" w:lineRule="exact"/>
        <w:ind w:firstLine="602" w:firstLineChars="200"/>
        <w:rPr>
          <w:rFonts w:ascii="楷体_GB2312" w:hAnsi="楷体_GB2312" w:eastAsia="楷体_GB2312" w:cs="楷体_GB2312"/>
          <w:b/>
          <w:bCs/>
          <w:sz w:val="30"/>
          <w:szCs w:val="30"/>
        </w:rPr>
      </w:pPr>
      <w:r>
        <w:rPr>
          <w:rFonts w:ascii="楷体_GB2312" w:hAnsi="楷体_GB2312" w:eastAsia="楷体_GB2312" w:cs="楷体_GB2312"/>
          <w:b/>
          <w:bCs/>
          <w:sz w:val="30"/>
          <w:szCs w:val="30"/>
        </w:rPr>
        <w:t>（二）新增债务限额情况</w:t>
      </w:r>
      <w:r>
        <w:rPr>
          <w:rFonts w:hint="eastAsia" w:ascii="楷体_GB2312" w:hAnsi="楷体_GB2312" w:eastAsia="楷体_GB2312" w:cs="楷体_GB2312"/>
          <w:b/>
          <w:bCs/>
          <w:sz w:val="30"/>
          <w:szCs w:val="30"/>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default" w:ascii="Times New Roman" w:hAnsi="Times New Roman" w:eastAsia="仿宋_GB2312" w:cs="Times New Roman"/>
          <w:sz w:val="30"/>
          <w:szCs w:val="30"/>
          <w:lang w:val="en-US" w:eastAsia="zh-CN"/>
        </w:rPr>
      </w:pPr>
      <w:r>
        <w:rPr>
          <w:rFonts w:ascii="仿宋_GB2312" w:hAnsi="仿宋" w:eastAsia="仿宋_GB2312" w:cs="仿宋"/>
          <w:b/>
          <w:color w:val="000000"/>
          <w:kern w:val="0"/>
          <w:sz w:val="32"/>
          <w:szCs w:val="32"/>
          <w:lang w:bidi="ar"/>
        </w:rPr>
        <w:t>1.新增一般债务限额情况</w:t>
      </w:r>
      <w:r>
        <w:rPr>
          <w:rFonts w:hint="eastAsia" w:ascii="仿宋_GB2312" w:hAnsi="仿宋" w:eastAsia="仿宋_GB2312" w:cs="仿宋"/>
          <w:b/>
          <w:color w:val="000000"/>
          <w:kern w:val="0"/>
          <w:sz w:val="32"/>
          <w:szCs w:val="32"/>
          <w:lang w:bidi="ar"/>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年度</w:t>
      </w:r>
      <w:r>
        <w:rPr>
          <w:rFonts w:hint="eastAsia" w:ascii="Times New Roman" w:hAnsi="Times New Roman" w:eastAsia="仿宋_GB2312" w:cs="Times New Roman"/>
          <w:sz w:val="30"/>
          <w:szCs w:val="30"/>
          <w:lang w:val="en-US" w:eastAsia="zh-CN"/>
        </w:rPr>
        <w:t>准东开发区</w:t>
      </w:r>
      <w:r>
        <w:rPr>
          <w:rFonts w:hint="default" w:ascii="Times New Roman" w:hAnsi="Times New Roman" w:eastAsia="仿宋_GB2312" w:cs="Times New Roman"/>
          <w:sz w:val="30"/>
          <w:szCs w:val="30"/>
          <w:lang w:val="en-US" w:eastAsia="zh-CN"/>
        </w:rPr>
        <w:t>新增一般债务限额总额</w:t>
      </w:r>
      <w:r>
        <w:rPr>
          <w:rFonts w:hint="eastAsia" w:ascii="Times New Roman" w:hAnsi="Times New Roman" w:eastAsia="仿宋_GB2312" w:cs="Times New Roman"/>
          <w:sz w:val="30"/>
          <w:szCs w:val="30"/>
          <w:lang w:val="en-US" w:eastAsia="zh-CN"/>
        </w:rPr>
        <w:t>0.1</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ascii="仿宋_GB2312" w:hAnsi="仿宋" w:eastAsia="仿宋_GB2312" w:cs="仿宋"/>
          <w:color w:val="000000"/>
          <w:kern w:val="0"/>
          <w:sz w:val="32"/>
          <w:szCs w:val="32"/>
          <w:lang w:bidi="ar"/>
        </w:rPr>
      </w:pPr>
      <w:r>
        <w:rPr>
          <w:rFonts w:ascii="仿宋_GB2312" w:hAnsi="仿宋" w:eastAsia="仿宋_GB2312" w:cs="仿宋"/>
          <w:b/>
          <w:color w:val="000000"/>
          <w:kern w:val="0"/>
          <w:sz w:val="32"/>
          <w:szCs w:val="32"/>
          <w:lang w:bidi="ar"/>
        </w:rPr>
        <w:t>2.新增专项债务限额情况</w:t>
      </w:r>
      <w:r>
        <w:rPr>
          <w:rFonts w:hint="eastAsia" w:ascii="仿宋_GB2312" w:hAnsi="仿宋" w:eastAsia="仿宋_GB2312" w:cs="仿宋"/>
          <w:b/>
          <w:color w:val="000000"/>
          <w:kern w:val="0"/>
          <w:sz w:val="32"/>
          <w:szCs w:val="32"/>
          <w:lang w:bidi="ar"/>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年度</w:t>
      </w:r>
      <w:r>
        <w:rPr>
          <w:rFonts w:hint="eastAsia" w:ascii="Times New Roman" w:hAnsi="Times New Roman" w:eastAsia="仿宋_GB2312" w:cs="Times New Roman"/>
          <w:sz w:val="30"/>
          <w:szCs w:val="30"/>
          <w:lang w:val="en-US" w:eastAsia="zh-CN"/>
        </w:rPr>
        <w:t>准东开发区</w:t>
      </w:r>
      <w:r>
        <w:rPr>
          <w:rFonts w:hint="default" w:ascii="Times New Roman" w:hAnsi="Times New Roman" w:eastAsia="仿宋_GB2312" w:cs="Times New Roman"/>
          <w:sz w:val="30"/>
          <w:szCs w:val="30"/>
          <w:lang w:val="en-US" w:eastAsia="zh-CN"/>
        </w:rPr>
        <w:t>新增专项债务限额总额为</w:t>
      </w:r>
      <w:r>
        <w:rPr>
          <w:rFonts w:hint="eastAsia" w:ascii="Times New Roman" w:hAnsi="Times New Roman" w:eastAsia="仿宋_GB2312" w:cs="Times New Roman"/>
          <w:sz w:val="30"/>
          <w:szCs w:val="30"/>
          <w:lang w:val="en-US" w:eastAsia="zh-CN"/>
        </w:rPr>
        <w:t>6.5</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w:t>
      </w:r>
    </w:p>
    <w:p>
      <w:pPr>
        <w:widowControl/>
        <w:autoSpaceDE w:val="0"/>
        <w:autoSpaceDN w:val="0"/>
        <w:spacing w:line="560" w:lineRule="exact"/>
        <w:ind w:firstLine="627" w:firstLineChars="200"/>
        <w:jc w:val="left"/>
        <w:outlineLvl w:val="0"/>
        <w:rPr>
          <w:rFonts w:ascii="楷体" w:hAnsi="楷体" w:eastAsia="楷体"/>
          <w:b/>
          <w:spacing w:val="-4"/>
          <w:sz w:val="32"/>
          <w:szCs w:val="32"/>
        </w:rPr>
      </w:pPr>
      <w:r>
        <w:rPr>
          <w:rFonts w:ascii="楷体" w:hAnsi="楷体" w:eastAsia="楷体"/>
          <w:b/>
          <w:spacing w:val="-4"/>
          <w:sz w:val="32"/>
          <w:szCs w:val="32"/>
        </w:rPr>
        <w:t>二、202</w:t>
      </w:r>
      <w:r>
        <w:rPr>
          <w:rFonts w:hint="eastAsia" w:ascii="楷体" w:hAnsi="楷体" w:eastAsia="楷体"/>
          <w:b/>
          <w:spacing w:val="-4"/>
          <w:sz w:val="32"/>
          <w:szCs w:val="32"/>
        </w:rPr>
        <w:t>1</w:t>
      </w:r>
      <w:r>
        <w:rPr>
          <w:rFonts w:ascii="楷体" w:hAnsi="楷体" w:eastAsia="楷体"/>
          <w:b/>
          <w:spacing w:val="-4"/>
          <w:sz w:val="32"/>
          <w:szCs w:val="32"/>
        </w:rPr>
        <w:t>年度政府债务余额</w:t>
      </w:r>
      <w:r>
        <w:rPr>
          <w:rFonts w:hint="eastAsia" w:ascii="楷体" w:hAnsi="楷体" w:eastAsia="楷体"/>
          <w:b/>
          <w:spacing w:val="-4"/>
          <w:sz w:val="32"/>
          <w:szCs w:val="32"/>
        </w:rPr>
        <w:t>情况</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年度</w:t>
      </w:r>
      <w:r>
        <w:rPr>
          <w:rFonts w:hint="eastAsia" w:ascii="Times New Roman" w:hAnsi="Times New Roman" w:eastAsia="仿宋_GB2312" w:cs="Times New Roman"/>
          <w:sz w:val="30"/>
          <w:szCs w:val="30"/>
          <w:lang w:val="en-US" w:eastAsia="zh-CN"/>
        </w:rPr>
        <w:t>准东开发区</w:t>
      </w:r>
      <w:r>
        <w:rPr>
          <w:rFonts w:hint="default" w:ascii="Times New Roman" w:hAnsi="Times New Roman" w:eastAsia="仿宋_GB2312" w:cs="Times New Roman"/>
          <w:sz w:val="30"/>
          <w:szCs w:val="30"/>
          <w:lang w:val="en-US" w:eastAsia="zh-CN"/>
        </w:rPr>
        <w:t>债务余额预计执行数为</w:t>
      </w:r>
      <w:r>
        <w:rPr>
          <w:rFonts w:hint="eastAsia" w:ascii="Times New Roman" w:hAnsi="Times New Roman" w:eastAsia="仿宋_GB2312" w:cs="Times New Roman"/>
          <w:sz w:val="30"/>
          <w:szCs w:val="30"/>
          <w:lang w:val="en-US" w:eastAsia="zh-CN"/>
        </w:rPr>
        <w:t>22.534</w:t>
      </w:r>
      <w:r>
        <w:rPr>
          <w:rFonts w:hint="default" w:ascii="Times New Roman" w:hAnsi="Times New Roman" w:eastAsia="仿宋_GB2312" w:cs="Times New Roman"/>
          <w:sz w:val="30"/>
          <w:szCs w:val="30"/>
          <w:lang w:val="en-US" w:eastAsia="zh-CN"/>
        </w:rPr>
        <w:t>亿元，政府债务余额全部严格控制在限额</w:t>
      </w:r>
      <w:r>
        <w:rPr>
          <w:rFonts w:hint="eastAsia" w:ascii="Times New Roman" w:hAnsi="Times New Roman" w:eastAsia="仿宋_GB2312" w:cs="Times New Roman"/>
          <w:sz w:val="30"/>
          <w:szCs w:val="30"/>
          <w:lang w:val="en-US" w:eastAsia="zh-CN"/>
        </w:rPr>
        <w:t>24.02</w:t>
      </w:r>
      <w:r>
        <w:rPr>
          <w:rFonts w:hint="default" w:ascii="Times New Roman" w:hAnsi="Times New Roman" w:eastAsia="仿宋_GB2312" w:cs="Times New Roman"/>
          <w:sz w:val="30"/>
          <w:szCs w:val="30"/>
          <w:lang w:val="en-US" w:eastAsia="zh-CN"/>
        </w:rPr>
        <w:t>亿元内</w:t>
      </w:r>
      <w:r>
        <w:rPr>
          <w:rFonts w:hint="eastAsia" w:ascii="Times New Roman" w:hAnsi="Times New Roman" w:eastAsia="仿宋_GB2312" w:cs="Times New Roman"/>
          <w:sz w:val="30"/>
          <w:szCs w:val="30"/>
          <w:lang w:val="en-US"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楷体" w:cs="Times New Roman"/>
          <w:b/>
          <w:bCs/>
          <w:sz w:val="30"/>
          <w:szCs w:val="30"/>
          <w:lang w:val="en-US" w:eastAsia="zh-CN"/>
        </w:rPr>
        <w:t>（一）一般债务余额预计执行数</w:t>
      </w:r>
      <w:r>
        <w:rPr>
          <w:rFonts w:hint="eastAsia" w:ascii="Times New Roman" w:hAnsi="Times New Roman" w:eastAsia="楷体" w:cs="Times New Roman"/>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年度</w:t>
      </w:r>
      <w:r>
        <w:rPr>
          <w:rFonts w:hint="eastAsia" w:ascii="Times New Roman" w:hAnsi="Times New Roman" w:eastAsia="仿宋_GB2312" w:cs="Times New Roman"/>
          <w:sz w:val="30"/>
          <w:szCs w:val="30"/>
          <w:lang w:val="en-US" w:eastAsia="zh-CN"/>
        </w:rPr>
        <w:t>准东开发区</w:t>
      </w:r>
      <w:r>
        <w:rPr>
          <w:rFonts w:hint="default" w:ascii="Times New Roman" w:hAnsi="Times New Roman" w:eastAsia="仿宋_GB2312" w:cs="Times New Roman"/>
          <w:sz w:val="30"/>
          <w:szCs w:val="30"/>
          <w:lang w:val="en-US" w:eastAsia="zh-CN"/>
        </w:rPr>
        <w:t>一般债务余额预计执行数为</w:t>
      </w:r>
      <w:r>
        <w:rPr>
          <w:rFonts w:hint="eastAsia" w:ascii="Times New Roman" w:hAnsi="Times New Roman" w:eastAsia="仿宋_GB2312" w:cs="Times New Roman"/>
          <w:sz w:val="30"/>
          <w:szCs w:val="30"/>
          <w:lang w:val="en-US" w:eastAsia="zh-CN"/>
        </w:rPr>
        <w:t>5.934</w:t>
      </w:r>
      <w:r>
        <w:rPr>
          <w:rFonts w:hint="default" w:ascii="Times New Roman" w:hAnsi="Times New Roman" w:eastAsia="仿宋_GB2312" w:cs="Times New Roman"/>
          <w:sz w:val="30"/>
          <w:szCs w:val="30"/>
          <w:lang w:val="en-US" w:eastAsia="zh-CN"/>
        </w:rPr>
        <w:t>亿元。</w:t>
      </w:r>
    </w:p>
    <w:p>
      <w:pPr>
        <w:widowControl/>
        <w:autoSpaceDE w:val="0"/>
        <w:autoSpaceDN w:val="0"/>
        <w:spacing w:line="560" w:lineRule="exact"/>
        <w:ind w:firstLine="602" w:firstLineChars="200"/>
        <w:jc w:val="left"/>
        <w:outlineLvl w:val="0"/>
        <w:rPr>
          <w:rFonts w:hint="default" w:ascii="Times New Roman" w:hAnsi="Times New Roman" w:eastAsia="仿宋_GB2312" w:cs="Times New Roman"/>
          <w:sz w:val="30"/>
          <w:szCs w:val="30"/>
          <w:lang w:val="en-US" w:eastAsia="zh-CN"/>
        </w:rPr>
      </w:pPr>
      <w:r>
        <w:rPr>
          <w:rFonts w:hint="default" w:ascii="Times New Roman" w:hAnsi="Times New Roman" w:eastAsia="楷体" w:cs="Times New Roman"/>
          <w:b/>
          <w:bCs/>
          <w:sz w:val="30"/>
          <w:szCs w:val="30"/>
          <w:lang w:val="en-US" w:eastAsia="zh-CN"/>
        </w:rPr>
        <w:t>（二）专项债务余额预计执行数</w:t>
      </w:r>
      <w:r>
        <w:rPr>
          <w:rFonts w:hint="eastAsia" w:ascii="Times New Roman" w:hAnsi="Times New Roman" w:eastAsia="楷体" w:cs="Times New Roman"/>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准东开发区</w:t>
      </w:r>
      <w:r>
        <w:rPr>
          <w:rFonts w:hint="default" w:ascii="Times New Roman" w:hAnsi="Times New Roman" w:eastAsia="仿宋_GB2312" w:cs="Times New Roman"/>
          <w:sz w:val="30"/>
          <w:szCs w:val="30"/>
          <w:lang w:val="en-US" w:eastAsia="zh-CN"/>
        </w:rPr>
        <w:t>专项债务余额预计执行数为</w:t>
      </w:r>
      <w:r>
        <w:rPr>
          <w:rFonts w:hint="eastAsia" w:ascii="Times New Roman" w:hAnsi="Times New Roman" w:eastAsia="仿宋_GB2312" w:cs="Times New Roman"/>
          <w:sz w:val="30"/>
          <w:szCs w:val="30"/>
          <w:lang w:val="en-US" w:eastAsia="zh-CN"/>
        </w:rPr>
        <w:t>16.6</w:t>
      </w:r>
      <w:r>
        <w:rPr>
          <w:rFonts w:hint="default" w:ascii="Times New Roman" w:hAnsi="Times New Roman" w:eastAsia="仿宋_GB2312" w:cs="Times New Roman"/>
          <w:sz w:val="30"/>
          <w:szCs w:val="30"/>
          <w:lang w:val="en-US" w:eastAsia="zh-CN"/>
        </w:rPr>
        <w:t>亿元。</w:t>
      </w:r>
    </w:p>
    <w:p>
      <w:pPr>
        <w:widowControl/>
        <w:autoSpaceDE w:val="0"/>
        <w:autoSpaceDN w:val="0"/>
        <w:spacing w:line="560" w:lineRule="exact"/>
        <w:ind w:firstLine="627" w:firstLineChars="200"/>
        <w:jc w:val="left"/>
        <w:outlineLvl w:val="0"/>
        <w:rPr>
          <w:rFonts w:ascii="楷体" w:hAnsi="楷体" w:eastAsia="楷体"/>
          <w:b/>
          <w:spacing w:val="-4"/>
          <w:sz w:val="32"/>
          <w:szCs w:val="32"/>
        </w:rPr>
      </w:pPr>
      <w:r>
        <w:rPr>
          <w:rFonts w:ascii="楷体" w:hAnsi="楷体" w:eastAsia="楷体"/>
          <w:b/>
          <w:spacing w:val="-4"/>
          <w:sz w:val="32"/>
          <w:szCs w:val="32"/>
        </w:rPr>
        <w:t>三、202</w:t>
      </w:r>
      <w:r>
        <w:rPr>
          <w:rFonts w:hint="eastAsia" w:ascii="楷体" w:hAnsi="楷体" w:eastAsia="楷体"/>
          <w:b/>
          <w:spacing w:val="-4"/>
          <w:sz w:val="32"/>
          <w:szCs w:val="32"/>
        </w:rPr>
        <w:t>1</w:t>
      </w:r>
      <w:r>
        <w:rPr>
          <w:rFonts w:ascii="楷体" w:hAnsi="楷体" w:eastAsia="楷体"/>
          <w:b/>
          <w:spacing w:val="-4"/>
          <w:sz w:val="32"/>
          <w:szCs w:val="32"/>
        </w:rPr>
        <w:t>年度政府债券发行使用情况</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年度</w:t>
      </w:r>
      <w:r>
        <w:rPr>
          <w:rFonts w:hint="eastAsia" w:ascii="Times New Roman" w:hAnsi="Times New Roman" w:eastAsia="仿宋_GB2312" w:cs="Times New Roman"/>
          <w:sz w:val="30"/>
          <w:szCs w:val="30"/>
          <w:lang w:val="en-US" w:eastAsia="zh-CN"/>
        </w:rPr>
        <w:t>准东开发区</w:t>
      </w:r>
      <w:r>
        <w:rPr>
          <w:rFonts w:hint="default" w:ascii="Times New Roman" w:hAnsi="Times New Roman" w:eastAsia="仿宋_GB2312" w:cs="Times New Roman"/>
          <w:sz w:val="30"/>
          <w:szCs w:val="30"/>
          <w:lang w:val="en-US" w:eastAsia="zh-CN"/>
        </w:rPr>
        <w:t>发行债券</w:t>
      </w:r>
      <w:r>
        <w:rPr>
          <w:rFonts w:hint="eastAsia" w:ascii="Times New Roman" w:hAnsi="Times New Roman" w:eastAsia="仿宋_GB2312" w:cs="Times New Roman"/>
          <w:sz w:val="30"/>
          <w:szCs w:val="30"/>
          <w:lang w:val="en-US" w:eastAsia="zh-CN"/>
        </w:rPr>
        <w:t>7.07</w:t>
      </w:r>
      <w:r>
        <w:rPr>
          <w:rFonts w:hint="default" w:ascii="Times New Roman" w:hAnsi="Times New Roman" w:eastAsia="仿宋_GB2312" w:cs="Times New Roman"/>
          <w:sz w:val="30"/>
          <w:szCs w:val="30"/>
          <w:lang w:val="en-US" w:eastAsia="zh-CN"/>
        </w:rPr>
        <w:t>亿元（新增债券</w:t>
      </w:r>
      <w:r>
        <w:rPr>
          <w:rFonts w:hint="eastAsia" w:ascii="Times New Roman" w:hAnsi="Times New Roman" w:eastAsia="仿宋_GB2312" w:cs="Times New Roman"/>
          <w:sz w:val="30"/>
          <w:szCs w:val="30"/>
          <w:lang w:val="en-US" w:eastAsia="zh-CN"/>
        </w:rPr>
        <w:t>6.6</w:t>
      </w:r>
      <w:r>
        <w:rPr>
          <w:rFonts w:hint="default" w:ascii="Times New Roman" w:hAnsi="Times New Roman" w:eastAsia="仿宋_GB2312" w:cs="Times New Roman"/>
          <w:sz w:val="30"/>
          <w:szCs w:val="30"/>
          <w:lang w:val="en-US" w:eastAsia="zh-CN"/>
        </w:rPr>
        <w:t>亿元、再融资债券</w:t>
      </w:r>
      <w:r>
        <w:rPr>
          <w:rFonts w:hint="eastAsia" w:ascii="Times New Roman" w:hAnsi="Times New Roman" w:eastAsia="仿宋_GB2312" w:cs="Times New Roman"/>
          <w:sz w:val="30"/>
          <w:szCs w:val="30"/>
          <w:lang w:val="en-US" w:eastAsia="zh-CN"/>
        </w:rPr>
        <w:t>0.47</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楷体" w:cs="Times New Roman"/>
          <w:b/>
          <w:bCs/>
          <w:sz w:val="30"/>
          <w:szCs w:val="30"/>
          <w:lang w:val="en-US" w:eastAsia="zh-CN"/>
        </w:rPr>
        <w:t>（一）新增一般债券发行使用情况</w:t>
      </w:r>
      <w:r>
        <w:rPr>
          <w:rFonts w:hint="eastAsia" w:ascii="Times New Roman" w:hAnsi="Times New Roman" w:eastAsia="楷体" w:cs="Times New Roman"/>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年度</w:t>
      </w:r>
      <w:r>
        <w:rPr>
          <w:rFonts w:hint="eastAsia" w:ascii="Times New Roman" w:hAnsi="Times New Roman" w:eastAsia="仿宋_GB2312" w:cs="Times New Roman"/>
          <w:sz w:val="30"/>
          <w:szCs w:val="30"/>
          <w:lang w:val="en-US" w:eastAsia="zh-CN"/>
        </w:rPr>
        <w:t>准东开发区</w:t>
      </w:r>
      <w:r>
        <w:rPr>
          <w:rFonts w:hint="default" w:ascii="Times New Roman" w:hAnsi="Times New Roman" w:eastAsia="仿宋_GB2312" w:cs="Times New Roman"/>
          <w:sz w:val="30"/>
          <w:szCs w:val="30"/>
          <w:lang w:val="en-US" w:eastAsia="zh-CN"/>
        </w:rPr>
        <w:t>发行新增一般债券</w:t>
      </w:r>
      <w:r>
        <w:rPr>
          <w:rFonts w:hint="eastAsia" w:ascii="Times New Roman" w:hAnsi="Times New Roman" w:eastAsia="仿宋_GB2312" w:cs="Times New Roman"/>
          <w:sz w:val="30"/>
          <w:szCs w:val="30"/>
          <w:lang w:val="en-US" w:eastAsia="zh-CN"/>
        </w:rPr>
        <w:t>0.1</w:t>
      </w:r>
      <w:r>
        <w:rPr>
          <w:rFonts w:hint="default" w:ascii="Times New Roman" w:hAnsi="Times New Roman" w:eastAsia="仿宋_GB2312" w:cs="Times New Roman"/>
          <w:sz w:val="30"/>
          <w:szCs w:val="30"/>
          <w:lang w:val="en-US" w:eastAsia="zh-CN"/>
        </w:rPr>
        <w:t>亿元。上述债券资金用于</w:t>
      </w:r>
      <w:r>
        <w:rPr>
          <w:rFonts w:hint="eastAsia" w:ascii="Times New Roman" w:hAnsi="Times New Roman" w:eastAsia="仿宋_GB2312" w:cs="Times New Roman"/>
          <w:sz w:val="30"/>
          <w:szCs w:val="30"/>
          <w:lang w:val="en-US" w:eastAsia="zh-CN"/>
        </w:rPr>
        <w:t>社会事业</w:t>
      </w:r>
      <w:r>
        <w:rPr>
          <w:rFonts w:hint="default" w:ascii="Times New Roman" w:hAnsi="Times New Roman" w:eastAsia="仿宋_GB2312" w:cs="Times New Roman"/>
          <w:sz w:val="30"/>
          <w:szCs w:val="30"/>
          <w:lang w:val="en-US" w:eastAsia="zh-CN"/>
        </w:rPr>
        <w:t>领域</w:t>
      </w:r>
      <w:r>
        <w:rPr>
          <w:rFonts w:hint="eastAsia" w:ascii="Times New Roman" w:hAnsi="Times New Roman" w:eastAsia="仿宋_GB2312" w:cs="Times New Roman"/>
          <w:sz w:val="30"/>
          <w:szCs w:val="30"/>
          <w:lang w:val="en-US" w:eastAsia="zh-CN"/>
        </w:rPr>
        <w:t>（详见附件2-3）</w:t>
      </w:r>
      <w:r>
        <w:rPr>
          <w:rFonts w:hint="default" w:ascii="Times New Roman" w:hAnsi="Times New Roman" w:eastAsia="仿宋_GB2312" w:cs="Times New Roman"/>
          <w:sz w:val="30"/>
          <w:szCs w:val="30"/>
          <w:lang w:val="en-US" w:eastAsia="zh-CN"/>
        </w:rPr>
        <w:t>。债券期限是</w:t>
      </w:r>
      <w:r>
        <w:rPr>
          <w:rFonts w:hint="eastAsia" w:ascii="Times New Roman" w:hAnsi="Times New Roman" w:eastAsia="仿宋_GB2312" w:cs="Times New Roman"/>
          <w:sz w:val="30"/>
          <w:szCs w:val="30"/>
          <w:lang w:val="en-US" w:eastAsia="zh-CN"/>
        </w:rPr>
        <w:t>10</w:t>
      </w:r>
      <w:r>
        <w:rPr>
          <w:rFonts w:hint="default" w:ascii="Times New Roman" w:hAnsi="Times New Roman" w:eastAsia="仿宋_GB2312" w:cs="Times New Roman"/>
          <w:sz w:val="30"/>
          <w:szCs w:val="30"/>
          <w:lang w:val="en-US" w:eastAsia="zh-CN"/>
        </w:rPr>
        <w:t>年期，债券</w:t>
      </w:r>
      <w:r>
        <w:rPr>
          <w:rFonts w:hint="eastAsia" w:ascii="Times New Roman" w:hAnsi="Times New Roman" w:eastAsia="仿宋_GB2312" w:cs="Times New Roman"/>
          <w:sz w:val="30"/>
          <w:szCs w:val="30"/>
          <w:lang w:val="en-US" w:eastAsia="zh-CN"/>
        </w:rPr>
        <w:t>平均</w:t>
      </w:r>
      <w:r>
        <w:rPr>
          <w:rFonts w:hint="default" w:ascii="Times New Roman" w:hAnsi="Times New Roman" w:eastAsia="仿宋_GB2312" w:cs="Times New Roman"/>
          <w:sz w:val="30"/>
          <w:szCs w:val="30"/>
          <w:lang w:val="en-US" w:eastAsia="zh-CN"/>
        </w:rPr>
        <w:t>利率</w:t>
      </w:r>
      <w:r>
        <w:rPr>
          <w:rFonts w:hint="eastAsia" w:ascii="Times New Roman" w:hAnsi="Times New Roman" w:eastAsia="仿宋_GB2312" w:cs="Times New Roman"/>
          <w:sz w:val="30"/>
          <w:szCs w:val="30"/>
          <w:lang w:val="en-US" w:eastAsia="zh-CN"/>
        </w:rPr>
        <w:t>为3.44</w:t>
      </w:r>
      <w:r>
        <w:rPr>
          <w:rFonts w:hint="default" w:ascii="Times New Roman" w:hAnsi="Times New Roman" w:eastAsia="仿宋_GB2312" w:cs="Times New Roman"/>
          <w:sz w:val="30"/>
          <w:szCs w:val="30"/>
          <w:lang w:val="en-US" w:eastAsia="zh-CN"/>
        </w:rPr>
        <w:t>%，债券</w:t>
      </w:r>
      <w:r>
        <w:rPr>
          <w:rFonts w:hint="eastAsia" w:ascii="Times New Roman" w:hAnsi="Times New Roman" w:eastAsia="仿宋_GB2312" w:cs="Times New Roman"/>
          <w:sz w:val="30"/>
          <w:szCs w:val="30"/>
          <w:lang w:val="en-US" w:eastAsia="zh-CN"/>
        </w:rPr>
        <w:t>还本付息通过一般公共预算收入偿还。</w:t>
      </w:r>
    </w:p>
    <w:p>
      <w:pPr>
        <w:keepNext w:val="0"/>
        <w:keepLines w:val="0"/>
        <w:pageBreakBefore w:val="0"/>
        <w:widowControl w:val="0"/>
        <w:kinsoku/>
        <w:wordWrap/>
        <w:overflowPunct/>
        <w:topLinePunct w:val="0"/>
        <w:autoSpaceDE/>
        <w:autoSpaceDN/>
        <w:bidi w:val="0"/>
        <w:adjustRightInd w:val="0"/>
        <w:snapToGrid w:val="0"/>
        <w:spacing w:line="52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楷体" w:cs="Times New Roman"/>
          <w:b/>
          <w:bCs/>
          <w:sz w:val="30"/>
          <w:szCs w:val="30"/>
          <w:lang w:val="en-US" w:eastAsia="zh-CN"/>
        </w:rPr>
        <w:t>（二）新增专项债券发行使用情况</w:t>
      </w:r>
      <w:r>
        <w:rPr>
          <w:rFonts w:hint="eastAsia" w:ascii="Times New Roman" w:hAnsi="Times New Roman" w:eastAsia="楷体" w:cs="Times New Roman"/>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年度</w:t>
      </w:r>
      <w:r>
        <w:rPr>
          <w:rFonts w:hint="eastAsia" w:ascii="Times New Roman" w:hAnsi="Times New Roman" w:eastAsia="仿宋_GB2312" w:cs="Times New Roman"/>
          <w:sz w:val="30"/>
          <w:szCs w:val="30"/>
          <w:lang w:val="en-US" w:eastAsia="zh-CN"/>
        </w:rPr>
        <w:t>准东开发区</w:t>
      </w:r>
      <w:r>
        <w:rPr>
          <w:rFonts w:hint="default" w:ascii="Times New Roman" w:hAnsi="Times New Roman" w:eastAsia="仿宋_GB2312" w:cs="Times New Roman"/>
          <w:sz w:val="30"/>
          <w:szCs w:val="30"/>
          <w:lang w:val="en-US" w:eastAsia="zh-CN"/>
        </w:rPr>
        <w:t>发行新增专项债券</w:t>
      </w:r>
      <w:r>
        <w:rPr>
          <w:rFonts w:hint="eastAsia" w:ascii="Times New Roman" w:hAnsi="Times New Roman" w:eastAsia="仿宋_GB2312" w:cs="Times New Roman"/>
          <w:sz w:val="30"/>
          <w:szCs w:val="30"/>
          <w:lang w:val="en-US" w:eastAsia="zh-CN"/>
        </w:rPr>
        <w:t>6.5</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上述债券资金主要用于农林水利、社会事业、市政和产业园区基础设施等重点领域。债券期限分别是</w:t>
      </w:r>
      <w:r>
        <w:rPr>
          <w:rFonts w:hint="eastAsia" w:ascii="Times New Roman" w:hAnsi="Times New Roman" w:eastAsia="仿宋_GB2312" w:cs="Times New Roman"/>
          <w:sz w:val="30"/>
          <w:szCs w:val="30"/>
          <w:lang w:val="en-US" w:eastAsia="zh-CN"/>
        </w:rPr>
        <w:t>10</w:t>
      </w:r>
      <w:r>
        <w:rPr>
          <w:rFonts w:hint="default" w:ascii="Times New Roman" w:hAnsi="Times New Roman" w:eastAsia="仿宋_GB2312" w:cs="Times New Roman"/>
          <w:sz w:val="30"/>
          <w:szCs w:val="30"/>
          <w:lang w:val="en-US" w:eastAsia="zh-CN"/>
        </w:rPr>
        <w:t>、</w:t>
      </w:r>
      <w:r>
        <w:rPr>
          <w:rFonts w:hint="eastAsia" w:ascii="Times New Roman" w:hAnsi="Times New Roman" w:eastAsia="仿宋_GB2312" w:cs="Times New Roman"/>
          <w:sz w:val="30"/>
          <w:szCs w:val="30"/>
          <w:lang w:val="en-US" w:eastAsia="zh-CN"/>
        </w:rPr>
        <w:t>20</w:t>
      </w:r>
      <w:r>
        <w:rPr>
          <w:rFonts w:hint="default" w:ascii="Times New Roman" w:hAnsi="Times New Roman" w:eastAsia="仿宋_GB2312" w:cs="Times New Roman"/>
          <w:sz w:val="30"/>
          <w:szCs w:val="30"/>
          <w:lang w:val="en-US" w:eastAsia="zh-CN"/>
        </w:rPr>
        <w:t>年期，债券</w:t>
      </w:r>
      <w:r>
        <w:rPr>
          <w:rFonts w:hint="eastAsia" w:ascii="Times New Roman" w:hAnsi="Times New Roman" w:eastAsia="仿宋_GB2312" w:cs="Times New Roman"/>
          <w:sz w:val="30"/>
          <w:szCs w:val="30"/>
          <w:lang w:val="en-US" w:eastAsia="zh-CN"/>
        </w:rPr>
        <w:t>平均</w:t>
      </w:r>
      <w:r>
        <w:rPr>
          <w:rFonts w:hint="default" w:ascii="Times New Roman" w:hAnsi="Times New Roman" w:eastAsia="仿宋_GB2312" w:cs="Times New Roman"/>
          <w:sz w:val="30"/>
          <w:szCs w:val="30"/>
          <w:lang w:val="en-US" w:eastAsia="zh-CN"/>
        </w:rPr>
        <w:t>利率</w:t>
      </w:r>
      <w:r>
        <w:rPr>
          <w:rFonts w:hint="eastAsia" w:ascii="Times New Roman" w:hAnsi="Times New Roman" w:eastAsia="仿宋_GB2312" w:cs="Times New Roman"/>
          <w:sz w:val="30"/>
          <w:szCs w:val="30"/>
          <w:lang w:val="en-US" w:eastAsia="zh-CN"/>
        </w:rPr>
        <w:t>为3.59</w:t>
      </w:r>
      <w:r>
        <w:rPr>
          <w:rFonts w:hint="default" w:ascii="Times New Roman" w:hAnsi="Times New Roman" w:eastAsia="仿宋_GB2312" w:cs="Times New Roman"/>
          <w:sz w:val="30"/>
          <w:szCs w:val="30"/>
          <w:lang w:val="en-US" w:eastAsia="zh-CN"/>
        </w:rPr>
        <w:t>%，债券还本付息</w:t>
      </w:r>
      <w:r>
        <w:rPr>
          <w:rFonts w:hint="eastAsia" w:ascii="Times New Roman" w:hAnsi="Times New Roman" w:eastAsia="仿宋_GB2312" w:cs="Times New Roman"/>
          <w:sz w:val="30"/>
          <w:szCs w:val="30"/>
          <w:lang w:val="en-US" w:eastAsia="zh-CN"/>
        </w:rPr>
        <w:t>通过对应项目取得的政府性基金或专项收入等偿还</w:t>
      </w:r>
      <w:r>
        <w:rPr>
          <w:rFonts w:hint="default" w:ascii="Times New Roman" w:hAnsi="Times New Roman" w:eastAsia="仿宋_GB2312" w:cs="Times New Roman"/>
          <w:sz w:val="30"/>
          <w:szCs w:val="30"/>
          <w:lang w:val="en-US"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楷体" w:cs="Times New Roman"/>
          <w:b/>
          <w:bCs/>
          <w:sz w:val="30"/>
          <w:szCs w:val="30"/>
          <w:lang w:val="en-US" w:eastAsia="zh-CN"/>
        </w:rPr>
        <w:t>（三）再融资债券发行使用情况</w:t>
      </w:r>
      <w:r>
        <w:rPr>
          <w:rFonts w:hint="eastAsia" w:ascii="Times New Roman" w:hAnsi="Times New Roman" w:eastAsia="楷体" w:cs="Times New Roman"/>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年度</w:t>
      </w:r>
      <w:r>
        <w:rPr>
          <w:rFonts w:hint="eastAsia" w:ascii="Times New Roman" w:hAnsi="Times New Roman" w:eastAsia="仿宋_GB2312" w:cs="Times New Roman"/>
          <w:sz w:val="30"/>
          <w:szCs w:val="30"/>
          <w:lang w:val="en-US" w:eastAsia="zh-CN"/>
        </w:rPr>
        <w:t>准东开发区</w:t>
      </w:r>
      <w:r>
        <w:rPr>
          <w:rFonts w:hint="default" w:ascii="Times New Roman" w:hAnsi="Times New Roman" w:eastAsia="仿宋_GB2312" w:cs="Times New Roman"/>
          <w:sz w:val="30"/>
          <w:szCs w:val="30"/>
          <w:lang w:val="en-US" w:eastAsia="zh-CN"/>
        </w:rPr>
        <w:t>发行再融资债券</w:t>
      </w:r>
      <w:r>
        <w:rPr>
          <w:rFonts w:hint="eastAsia" w:ascii="Times New Roman" w:hAnsi="Times New Roman" w:eastAsia="仿宋_GB2312" w:cs="Times New Roman"/>
          <w:sz w:val="30"/>
          <w:szCs w:val="30"/>
          <w:lang w:val="en-US" w:eastAsia="zh-CN"/>
        </w:rPr>
        <w:t>0.47</w:t>
      </w:r>
      <w:r>
        <w:rPr>
          <w:rFonts w:hint="default" w:ascii="Times New Roman" w:hAnsi="Times New Roman" w:eastAsia="仿宋_GB2312" w:cs="Times New Roman"/>
          <w:sz w:val="30"/>
          <w:szCs w:val="30"/>
          <w:lang w:val="en-US" w:eastAsia="zh-CN"/>
        </w:rPr>
        <w:t>亿元（再融资一般债券</w:t>
      </w:r>
      <w:r>
        <w:rPr>
          <w:rFonts w:hint="eastAsia" w:ascii="Times New Roman" w:hAnsi="Times New Roman" w:eastAsia="仿宋_GB2312" w:cs="Times New Roman"/>
          <w:sz w:val="30"/>
          <w:szCs w:val="30"/>
          <w:lang w:val="en-US" w:eastAsia="zh-CN"/>
        </w:rPr>
        <w:t>0.47</w:t>
      </w:r>
      <w:r>
        <w:rPr>
          <w:rFonts w:hint="default" w:ascii="Times New Roman" w:hAnsi="Times New Roman" w:eastAsia="仿宋_GB2312" w:cs="Times New Roman"/>
          <w:sz w:val="30"/>
          <w:szCs w:val="30"/>
          <w:lang w:val="en-US" w:eastAsia="zh-CN"/>
        </w:rPr>
        <w:t>亿元）。上述债券资金全部用于偿还到期政府债券本金</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债券期限是</w:t>
      </w:r>
      <w:r>
        <w:rPr>
          <w:rFonts w:hint="eastAsia" w:ascii="Times New Roman" w:hAnsi="Times New Roman" w:eastAsia="仿宋_GB2312" w:cs="Times New Roman"/>
          <w:sz w:val="30"/>
          <w:szCs w:val="30"/>
          <w:lang w:val="en-US" w:eastAsia="zh-CN"/>
        </w:rPr>
        <w:t>5</w:t>
      </w:r>
      <w:r>
        <w:rPr>
          <w:rFonts w:hint="default" w:ascii="Times New Roman" w:hAnsi="Times New Roman" w:eastAsia="仿宋_GB2312" w:cs="Times New Roman"/>
          <w:sz w:val="30"/>
          <w:szCs w:val="30"/>
          <w:lang w:val="en-US" w:eastAsia="zh-CN"/>
        </w:rPr>
        <w:t>年期，债券</w:t>
      </w:r>
      <w:r>
        <w:rPr>
          <w:rFonts w:hint="eastAsia" w:ascii="Times New Roman" w:hAnsi="Times New Roman" w:eastAsia="仿宋_GB2312" w:cs="Times New Roman"/>
          <w:sz w:val="30"/>
          <w:szCs w:val="30"/>
          <w:lang w:val="en-US" w:eastAsia="zh-CN"/>
        </w:rPr>
        <w:t>平均</w:t>
      </w:r>
      <w:r>
        <w:rPr>
          <w:rFonts w:hint="default" w:ascii="Times New Roman" w:hAnsi="Times New Roman" w:eastAsia="仿宋_GB2312" w:cs="Times New Roman"/>
          <w:sz w:val="30"/>
          <w:szCs w:val="30"/>
          <w:lang w:val="en-US" w:eastAsia="zh-CN"/>
        </w:rPr>
        <w:t>利率</w:t>
      </w:r>
      <w:r>
        <w:rPr>
          <w:rFonts w:hint="eastAsia" w:ascii="Times New Roman" w:hAnsi="Times New Roman" w:eastAsia="仿宋_GB2312" w:cs="Times New Roman"/>
          <w:sz w:val="30"/>
          <w:szCs w:val="30"/>
          <w:lang w:val="en-US" w:eastAsia="zh-CN"/>
        </w:rPr>
        <w:t>为3.26</w:t>
      </w:r>
      <w:r>
        <w:rPr>
          <w:rFonts w:hint="default" w:ascii="Times New Roman" w:hAnsi="Times New Roman" w:eastAsia="仿宋_GB2312" w:cs="Times New Roman"/>
          <w:sz w:val="30"/>
          <w:szCs w:val="30"/>
          <w:lang w:val="en-US" w:eastAsia="zh-CN"/>
        </w:rPr>
        <w:t>%。</w:t>
      </w:r>
    </w:p>
    <w:p>
      <w:pPr>
        <w:widowControl/>
        <w:autoSpaceDE w:val="0"/>
        <w:autoSpaceDN w:val="0"/>
        <w:spacing w:line="560" w:lineRule="exact"/>
        <w:ind w:firstLine="627" w:firstLineChars="200"/>
        <w:jc w:val="left"/>
        <w:outlineLvl w:val="0"/>
        <w:rPr>
          <w:rFonts w:ascii="楷体" w:hAnsi="楷体" w:eastAsia="楷体"/>
          <w:b/>
          <w:spacing w:val="-4"/>
          <w:sz w:val="32"/>
          <w:szCs w:val="32"/>
        </w:rPr>
      </w:pPr>
      <w:r>
        <w:rPr>
          <w:rFonts w:ascii="楷体" w:hAnsi="楷体" w:eastAsia="楷体"/>
          <w:b/>
          <w:spacing w:val="-4"/>
          <w:sz w:val="32"/>
          <w:szCs w:val="32"/>
        </w:rPr>
        <w:t>四、202</w:t>
      </w:r>
      <w:r>
        <w:rPr>
          <w:rFonts w:hint="eastAsia" w:ascii="楷体" w:hAnsi="楷体" w:eastAsia="楷体"/>
          <w:b/>
          <w:spacing w:val="-4"/>
          <w:sz w:val="32"/>
          <w:szCs w:val="32"/>
        </w:rPr>
        <w:t>1</w:t>
      </w:r>
      <w:r>
        <w:rPr>
          <w:rFonts w:ascii="楷体" w:hAnsi="楷体" w:eastAsia="楷体"/>
          <w:b/>
          <w:spacing w:val="-4"/>
          <w:sz w:val="32"/>
          <w:szCs w:val="32"/>
        </w:rPr>
        <w:t>年度政府债券还本付息情况</w:t>
      </w:r>
    </w:p>
    <w:p>
      <w:pPr>
        <w:keepNext w:val="0"/>
        <w:keepLines w:val="0"/>
        <w:pageBreakBefore w:val="0"/>
        <w:widowControl w:val="0"/>
        <w:kinsoku/>
        <w:wordWrap/>
        <w:overflowPunct/>
        <w:topLinePunct w:val="0"/>
        <w:autoSpaceDE/>
        <w:autoSpaceDN/>
        <w:bidi w:val="0"/>
        <w:adjustRightInd w:val="0"/>
        <w:snapToGrid w:val="0"/>
        <w:spacing w:line="520"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年度</w:t>
      </w:r>
      <w:r>
        <w:rPr>
          <w:rFonts w:hint="eastAsia" w:ascii="Times New Roman" w:hAnsi="Times New Roman" w:eastAsia="仿宋_GB2312" w:cs="Times New Roman"/>
          <w:sz w:val="30"/>
          <w:szCs w:val="30"/>
          <w:lang w:val="en-US" w:eastAsia="zh-CN"/>
        </w:rPr>
        <w:t>准东开发区</w:t>
      </w:r>
      <w:r>
        <w:rPr>
          <w:rFonts w:hint="default" w:ascii="Times New Roman" w:hAnsi="Times New Roman" w:eastAsia="仿宋_GB2312" w:cs="Times New Roman"/>
          <w:sz w:val="30"/>
          <w:szCs w:val="30"/>
          <w:lang w:val="en-US" w:eastAsia="zh-CN"/>
        </w:rPr>
        <w:t>政府债券还本付息</w:t>
      </w:r>
      <w:r>
        <w:rPr>
          <w:rFonts w:hint="eastAsia" w:ascii="Times New Roman" w:hAnsi="Times New Roman" w:eastAsia="仿宋_GB2312" w:cs="Times New Roman"/>
          <w:sz w:val="30"/>
          <w:szCs w:val="30"/>
          <w:lang w:eastAsia="zh-CN"/>
        </w:rPr>
        <w:t>预计执行数</w:t>
      </w:r>
      <w:r>
        <w:rPr>
          <w:rFonts w:hint="eastAsia" w:ascii="Times New Roman" w:hAnsi="Times New Roman" w:eastAsia="仿宋_GB2312" w:cs="Times New Roman"/>
          <w:sz w:val="30"/>
          <w:szCs w:val="30"/>
          <w:lang w:val="en-US" w:eastAsia="zh-CN"/>
        </w:rPr>
        <w:t>2.3466</w:t>
      </w:r>
      <w:r>
        <w:rPr>
          <w:rFonts w:hint="default" w:ascii="Times New Roman" w:hAnsi="Times New Roman" w:eastAsia="仿宋_GB2312" w:cs="Times New Roman"/>
          <w:sz w:val="30"/>
          <w:szCs w:val="30"/>
          <w:lang w:val="en-US" w:eastAsia="zh-CN"/>
        </w:rPr>
        <w:t>亿元（财政预算安排还本</w:t>
      </w:r>
      <w:r>
        <w:rPr>
          <w:rFonts w:hint="eastAsia" w:ascii="Times New Roman" w:hAnsi="Times New Roman" w:eastAsia="仿宋_GB2312" w:cs="Times New Roman"/>
          <w:sz w:val="30"/>
          <w:szCs w:val="30"/>
          <w:lang w:val="en-US" w:eastAsia="zh-CN"/>
        </w:rPr>
        <w:t>1.156</w:t>
      </w:r>
      <w:r>
        <w:rPr>
          <w:rFonts w:hint="default" w:ascii="Times New Roman" w:hAnsi="Times New Roman" w:eastAsia="仿宋_GB2312" w:cs="Times New Roman"/>
          <w:sz w:val="30"/>
          <w:szCs w:val="30"/>
          <w:lang w:val="en-US" w:eastAsia="zh-CN"/>
        </w:rPr>
        <w:t>亿元、再融资债券用于还本</w:t>
      </w:r>
      <w:r>
        <w:rPr>
          <w:rFonts w:hint="eastAsia" w:ascii="Times New Roman" w:hAnsi="Times New Roman" w:eastAsia="仿宋_GB2312" w:cs="Times New Roman"/>
          <w:sz w:val="30"/>
          <w:szCs w:val="30"/>
          <w:lang w:val="en-US" w:eastAsia="zh-CN"/>
        </w:rPr>
        <w:t>0.47</w:t>
      </w:r>
      <w:r>
        <w:rPr>
          <w:rFonts w:hint="default" w:ascii="Times New Roman" w:hAnsi="Times New Roman" w:eastAsia="仿宋_GB2312" w:cs="Times New Roman"/>
          <w:sz w:val="30"/>
          <w:szCs w:val="30"/>
          <w:lang w:val="en-US" w:eastAsia="zh-CN"/>
        </w:rPr>
        <w:t>亿元、财政预算安排付息</w:t>
      </w:r>
      <w:r>
        <w:rPr>
          <w:rFonts w:hint="eastAsia" w:ascii="Times New Roman" w:hAnsi="Times New Roman" w:eastAsia="仿宋_GB2312" w:cs="Times New Roman"/>
          <w:sz w:val="30"/>
          <w:szCs w:val="30"/>
          <w:lang w:val="en-US" w:eastAsia="zh-CN"/>
        </w:rPr>
        <w:t>0.7206</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20" w:lineRule="exact"/>
        <w:ind w:firstLine="602" w:firstLineChars="200"/>
        <w:jc w:val="both"/>
        <w:textAlignment w:val="auto"/>
        <w:rPr>
          <w:rFonts w:hint="default" w:ascii="Times New Roman" w:hAnsi="Times New Roman" w:eastAsia="黑体" w:cs="Times New Roman"/>
          <w:sz w:val="30"/>
          <w:szCs w:val="30"/>
          <w:highlight w:val="red"/>
          <w:lang w:val="en-US" w:eastAsia="zh-CN"/>
        </w:rPr>
      </w:pPr>
      <w:r>
        <w:rPr>
          <w:rFonts w:hint="default" w:ascii="Times New Roman" w:hAnsi="Times New Roman" w:eastAsia="楷体" w:cs="Times New Roman"/>
          <w:b/>
          <w:bCs/>
          <w:sz w:val="30"/>
          <w:szCs w:val="30"/>
          <w:lang w:val="en-US" w:eastAsia="zh-CN"/>
        </w:rPr>
        <w:t>（一）一般债券还本付息情况</w:t>
      </w:r>
      <w:r>
        <w:rPr>
          <w:rFonts w:hint="eastAsia" w:ascii="Times New Roman" w:hAnsi="Times New Roman" w:eastAsia="楷体" w:cs="Times New Roman"/>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年度</w:t>
      </w:r>
      <w:r>
        <w:rPr>
          <w:rFonts w:hint="eastAsia" w:ascii="Times New Roman" w:hAnsi="Times New Roman" w:eastAsia="仿宋_GB2312" w:cs="Times New Roman"/>
          <w:sz w:val="30"/>
          <w:szCs w:val="30"/>
          <w:lang w:val="en-US" w:eastAsia="zh-CN"/>
        </w:rPr>
        <w:t>准东开发区</w:t>
      </w:r>
      <w:r>
        <w:rPr>
          <w:rFonts w:hint="default" w:ascii="Times New Roman" w:hAnsi="Times New Roman" w:eastAsia="仿宋_GB2312" w:cs="Times New Roman"/>
          <w:sz w:val="30"/>
          <w:szCs w:val="30"/>
          <w:lang w:val="en-US" w:eastAsia="zh-CN"/>
        </w:rPr>
        <w:t>一般债券还本付息</w:t>
      </w:r>
      <w:r>
        <w:rPr>
          <w:rFonts w:hint="eastAsia" w:ascii="Times New Roman" w:hAnsi="Times New Roman" w:eastAsia="仿宋_GB2312" w:cs="Times New Roman"/>
          <w:sz w:val="30"/>
          <w:szCs w:val="30"/>
          <w:lang w:eastAsia="zh-CN"/>
        </w:rPr>
        <w:t>预计执行数</w:t>
      </w:r>
      <w:r>
        <w:rPr>
          <w:rFonts w:hint="eastAsia" w:ascii="Times New Roman" w:hAnsi="Times New Roman" w:eastAsia="仿宋_GB2312" w:cs="Times New Roman"/>
          <w:sz w:val="30"/>
          <w:szCs w:val="30"/>
          <w:lang w:val="en-US" w:eastAsia="zh-CN"/>
        </w:rPr>
        <w:t>1.2176</w:t>
      </w:r>
      <w:r>
        <w:rPr>
          <w:rFonts w:hint="default" w:ascii="Times New Roman" w:hAnsi="Times New Roman" w:eastAsia="仿宋_GB2312" w:cs="Times New Roman"/>
          <w:sz w:val="30"/>
          <w:szCs w:val="30"/>
          <w:lang w:val="en-US" w:eastAsia="zh-CN"/>
        </w:rPr>
        <w:t>亿元（财政预算安排还本</w:t>
      </w:r>
      <w:r>
        <w:rPr>
          <w:rFonts w:hint="eastAsia" w:ascii="Times New Roman" w:hAnsi="Times New Roman" w:eastAsia="仿宋_GB2312" w:cs="Times New Roman"/>
          <w:sz w:val="30"/>
          <w:szCs w:val="30"/>
          <w:lang w:val="en-US" w:eastAsia="zh-CN"/>
        </w:rPr>
        <w:t>0.526</w:t>
      </w:r>
      <w:r>
        <w:rPr>
          <w:rFonts w:hint="default" w:ascii="Times New Roman" w:hAnsi="Times New Roman" w:eastAsia="仿宋_GB2312" w:cs="Times New Roman"/>
          <w:sz w:val="30"/>
          <w:szCs w:val="30"/>
          <w:lang w:val="en-US" w:eastAsia="zh-CN"/>
        </w:rPr>
        <w:t>亿元、再融资债券用于还本</w:t>
      </w:r>
      <w:r>
        <w:rPr>
          <w:rFonts w:hint="eastAsia" w:ascii="Times New Roman" w:hAnsi="Times New Roman" w:eastAsia="仿宋_GB2312" w:cs="Times New Roman"/>
          <w:sz w:val="30"/>
          <w:szCs w:val="30"/>
          <w:lang w:val="en-US" w:eastAsia="zh-CN"/>
        </w:rPr>
        <w:t>0.47</w:t>
      </w:r>
      <w:r>
        <w:rPr>
          <w:rFonts w:hint="default" w:ascii="Times New Roman" w:hAnsi="Times New Roman" w:eastAsia="仿宋_GB2312" w:cs="Times New Roman"/>
          <w:sz w:val="30"/>
          <w:szCs w:val="30"/>
          <w:lang w:val="en-US" w:eastAsia="zh-CN"/>
        </w:rPr>
        <w:t>亿元、财政预算安排付息</w:t>
      </w:r>
      <w:r>
        <w:rPr>
          <w:rFonts w:hint="eastAsia" w:ascii="Times New Roman" w:hAnsi="Times New Roman" w:eastAsia="仿宋_GB2312" w:cs="Times New Roman"/>
          <w:sz w:val="30"/>
          <w:szCs w:val="30"/>
          <w:lang w:val="en-US" w:eastAsia="zh-CN"/>
        </w:rPr>
        <w:t>0.2216</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20" w:lineRule="exact"/>
        <w:ind w:firstLine="602" w:firstLineChars="200"/>
        <w:jc w:val="both"/>
        <w:textAlignment w:val="auto"/>
        <w:rPr>
          <w:rFonts w:ascii="仿宋_GB2312" w:hAnsi="仿宋" w:eastAsia="仿宋_GB2312" w:cs="仿宋"/>
          <w:color w:val="000000"/>
          <w:kern w:val="0"/>
          <w:sz w:val="32"/>
          <w:szCs w:val="32"/>
          <w:lang w:bidi="ar"/>
        </w:rPr>
      </w:pPr>
      <w:r>
        <w:rPr>
          <w:rFonts w:hint="default" w:ascii="Times New Roman" w:hAnsi="Times New Roman" w:eastAsia="楷体" w:cs="Times New Roman"/>
          <w:b/>
          <w:bCs/>
          <w:sz w:val="30"/>
          <w:szCs w:val="30"/>
          <w:lang w:val="en-US" w:eastAsia="zh-CN"/>
        </w:rPr>
        <w:t>（二）专项债券还本付息情况</w:t>
      </w:r>
      <w:r>
        <w:rPr>
          <w:rFonts w:hint="eastAsia" w:ascii="Times New Roman" w:hAnsi="Times New Roman" w:eastAsia="楷体" w:cs="Times New Roman"/>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年度</w:t>
      </w:r>
      <w:r>
        <w:rPr>
          <w:rFonts w:hint="eastAsia" w:ascii="Times New Roman" w:hAnsi="Times New Roman" w:eastAsia="仿宋_GB2312" w:cs="Times New Roman"/>
          <w:sz w:val="30"/>
          <w:szCs w:val="30"/>
          <w:lang w:val="en-US" w:eastAsia="zh-CN"/>
        </w:rPr>
        <w:t>准东开发区</w:t>
      </w:r>
      <w:r>
        <w:rPr>
          <w:rFonts w:hint="default" w:ascii="Times New Roman" w:hAnsi="Times New Roman" w:eastAsia="仿宋_GB2312" w:cs="Times New Roman"/>
          <w:sz w:val="30"/>
          <w:szCs w:val="30"/>
          <w:lang w:val="en-US" w:eastAsia="zh-CN"/>
        </w:rPr>
        <w:t>专项债券还本付息</w:t>
      </w:r>
      <w:r>
        <w:rPr>
          <w:rFonts w:hint="eastAsia" w:ascii="Times New Roman" w:hAnsi="Times New Roman" w:eastAsia="仿宋_GB2312" w:cs="Times New Roman"/>
          <w:sz w:val="30"/>
          <w:szCs w:val="30"/>
          <w:lang w:eastAsia="zh-CN"/>
        </w:rPr>
        <w:t>预计执行数</w:t>
      </w:r>
      <w:r>
        <w:rPr>
          <w:rFonts w:hint="eastAsia" w:ascii="Times New Roman" w:hAnsi="Times New Roman" w:eastAsia="仿宋_GB2312" w:cs="Times New Roman"/>
          <w:sz w:val="30"/>
          <w:szCs w:val="30"/>
          <w:lang w:val="en-US" w:eastAsia="zh-CN"/>
        </w:rPr>
        <w:t>0.659</w:t>
      </w:r>
      <w:r>
        <w:rPr>
          <w:rFonts w:hint="default" w:ascii="Times New Roman" w:hAnsi="Times New Roman" w:eastAsia="仿宋_GB2312" w:cs="Times New Roman"/>
          <w:sz w:val="30"/>
          <w:szCs w:val="30"/>
          <w:lang w:val="en-US" w:eastAsia="zh-CN"/>
        </w:rPr>
        <w:t>亿元（财政预算安排还本</w:t>
      </w:r>
      <w:r>
        <w:rPr>
          <w:rFonts w:hint="eastAsia" w:ascii="Times New Roman" w:hAnsi="Times New Roman" w:eastAsia="仿宋_GB2312" w:cs="Times New Roman"/>
          <w:sz w:val="30"/>
          <w:szCs w:val="30"/>
          <w:lang w:val="en-US" w:eastAsia="zh-CN"/>
        </w:rPr>
        <w:t>0.16</w:t>
      </w:r>
      <w:r>
        <w:rPr>
          <w:rFonts w:hint="default" w:ascii="Times New Roman" w:hAnsi="Times New Roman" w:eastAsia="仿宋_GB2312" w:cs="Times New Roman"/>
          <w:sz w:val="30"/>
          <w:szCs w:val="30"/>
          <w:lang w:val="en-US" w:eastAsia="zh-CN"/>
        </w:rPr>
        <w:t>亿元、再融资债券用于还本</w:t>
      </w:r>
      <w:r>
        <w:rPr>
          <w:rFonts w:hint="eastAsia"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lang w:val="en-US" w:eastAsia="zh-CN"/>
        </w:rPr>
        <w:t>亿元、财政预算安排付息</w:t>
      </w:r>
      <w:r>
        <w:rPr>
          <w:rFonts w:hint="eastAsia" w:ascii="Times New Roman" w:hAnsi="Times New Roman" w:eastAsia="仿宋_GB2312" w:cs="Times New Roman"/>
          <w:sz w:val="30"/>
          <w:szCs w:val="30"/>
          <w:lang w:val="en-US" w:eastAsia="zh-CN"/>
        </w:rPr>
        <w:t>0.499</w:t>
      </w:r>
      <w:r>
        <w:rPr>
          <w:rFonts w:hint="default" w:ascii="Times New Roman" w:hAnsi="Times New Roman" w:eastAsia="仿宋_GB2312" w:cs="Times New Roman"/>
          <w:sz w:val="30"/>
          <w:szCs w:val="30"/>
          <w:lang w:val="en-US" w:eastAsia="zh-CN"/>
        </w:rPr>
        <w:t>亿元）。</w:t>
      </w:r>
    </w:p>
    <w:p>
      <w:pPr>
        <w:widowControl/>
        <w:spacing w:line="560" w:lineRule="exact"/>
        <w:jc w:val="center"/>
        <w:outlineLvl w:val="1"/>
        <w:rPr>
          <w:rFonts w:hint="eastAsia" w:ascii="黑体" w:hAnsi="黑体" w:eastAsia="黑体"/>
          <w:kern w:val="0"/>
          <w:sz w:val="32"/>
          <w:szCs w:val="32"/>
          <w:lang w:eastAsia="zh-Hans"/>
        </w:rPr>
      </w:pPr>
      <w:r>
        <w:rPr>
          <w:rFonts w:ascii="黑体" w:hAnsi="黑体" w:eastAsia="黑体"/>
          <w:kern w:val="0"/>
          <w:sz w:val="32"/>
          <w:szCs w:val="32"/>
          <w:lang w:eastAsia="zh-Hans"/>
        </w:rPr>
        <w:t>第</w:t>
      </w:r>
      <w:r>
        <w:rPr>
          <w:rFonts w:hint="eastAsia" w:ascii="黑体" w:hAnsi="黑体" w:eastAsia="黑体"/>
          <w:kern w:val="0"/>
          <w:sz w:val="32"/>
          <w:szCs w:val="32"/>
          <w:lang w:eastAsia="zh-CN"/>
        </w:rPr>
        <w:t>六</w:t>
      </w:r>
      <w:r>
        <w:rPr>
          <w:rFonts w:ascii="黑体" w:hAnsi="黑体" w:eastAsia="黑体"/>
          <w:kern w:val="0"/>
          <w:sz w:val="32"/>
          <w:szCs w:val="32"/>
          <w:lang w:eastAsia="zh-Hans"/>
        </w:rPr>
        <w:t xml:space="preserve">部分 </w:t>
      </w:r>
      <w:r>
        <w:rPr>
          <w:rFonts w:hint="eastAsia" w:ascii="黑体" w:hAnsi="黑体" w:eastAsia="黑体"/>
          <w:kern w:val="0"/>
          <w:sz w:val="32"/>
          <w:szCs w:val="32"/>
          <w:lang w:eastAsia="zh-Hans"/>
        </w:rPr>
        <w:t>其他</w:t>
      </w:r>
      <w:r>
        <w:rPr>
          <w:rFonts w:ascii="黑体" w:hAnsi="黑体" w:eastAsia="黑体"/>
          <w:kern w:val="0"/>
          <w:sz w:val="32"/>
          <w:szCs w:val="32"/>
          <w:lang w:eastAsia="zh-Hans"/>
        </w:rPr>
        <w:t>情况</w:t>
      </w:r>
      <w:r>
        <w:rPr>
          <w:rFonts w:hint="eastAsia" w:ascii="黑体" w:hAnsi="黑体" w:eastAsia="黑体"/>
          <w:kern w:val="0"/>
          <w:sz w:val="32"/>
          <w:szCs w:val="32"/>
          <w:lang w:eastAsia="zh-Hans"/>
        </w:rPr>
        <w:t>说明</w:t>
      </w:r>
    </w:p>
    <w:p>
      <w:pPr>
        <w:widowControl/>
        <w:autoSpaceDE w:val="0"/>
        <w:autoSpaceDN w:val="0"/>
        <w:spacing w:line="560" w:lineRule="exact"/>
        <w:ind w:firstLine="620" w:firstLineChars="200"/>
        <w:jc w:val="left"/>
        <w:outlineLvl w:val="0"/>
        <w:rPr>
          <w:rFonts w:ascii="Times New Roman" w:hAnsi="Times New Roman" w:eastAsia="方正小标宋_GBK"/>
          <w:b/>
          <w:sz w:val="32"/>
        </w:rPr>
      </w:pPr>
      <w:r>
        <w:rPr>
          <w:rFonts w:hint="eastAsia" w:ascii="仿宋" w:hAnsi="仿宋" w:eastAsia="仿宋" w:cs="仿宋"/>
          <w:color w:val="000000"/>
          <w:kern w:val="0"/>
          <w:sz w:val="31"/>
          <w:szCs w:val="31"/>
          <w:lang w:bidi="ar"/>
        </w:rPr>
        <w:t>无其他需要说明的情况。</w:t>
      </w:r>
      <w:bookmarkStart w:id="0" w:name="_GoBack"/>
      <w:bookmarkEnd w:id="0"/>
    </w:p>
    <w:p>
      <w:pPr>
        <w:autoSpaceDE w:val="0"/>
        <w:autoSpaceDN w:val="0"/>
        <w:spacing w:line="560" w:lineRule="exact"/>
        <w:ind w:firstLine="643" w:firstLineChars="200"/>
        <w:jc w:val="center"/>
        <w:rPr>
          <w:rFonts w:ascii="Times New Roman" w:hAnsi="Times New Roman" w:eastAsia="方正小标宋_GBK"/>
          <w:b/>
          <w:sz w:val="32"/>
        </w:rPr>
      </w:pPr>
    </w:p>
    <w:p>
      <w:pPr>
        <w:autoSpaceDE w:val="0"/>
        <w:autoSpaceDN w:val="0"/>
        <w:spacing w:line="560" w:lineRule="exact"/>
        <w:ind w:firstLine="643" w:firstLineChars="200"/>
        <w:jc w:val="center"/>
        <w:rPr>
          <w:rFonts w:ascii="Times New Roman" w:hAnsi="Times New Roman" w:eastAsia="方正小标宋_GBK"/>
          <w:b/>
          <w:sz w:val="32"/>
        </w:rPr>
      </w:pPr>
    </w:p>
    <w:p>
      <w:pPr>
        <w:widowControl/>
        <w:autoSpaceDE w:val="0"/>
        <w:autoSpaceDN w:val="0"/>
        <w:spacing w:line="560" w:lineRule="exact"/>
        <w:ind w:firstLine="620" w:firstLineChars="200"/>
        <w:jc w:val="center"/>
        <w:outlineLvl w:val="0"/>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             </w:t>
      </w:r>
      <w:r>
        <w:rPr>
          <w:rFonts w:hint="eastAsia" w:ascii="仿宋" w:hAnsi="仿宋" w:eastAsia="仿宋" w:cs="仿宋"/>
          <w:color w:val="000000"/>
          <w:kern w:val="0"/>
          <w:sz w:val="31"/>
          <w:szCs w:val="31"/>
          <w:lang w:bidi="ar"/>
        </w:rPr>
        <w:t>2022</w:t>
      </w:r>
      <w:r>
        <w:rPr>
          <w:rFonts w:hint="eastAsia" w:ascii="仿宋" w:hAnsi="仿宋" w:eastAsia="仿宋" w:cs="仿宋"/>
          <w:color w:val="000000"/>
          <w:kern w:val="0"/>
          <w:sz w:val="31"/>
          <w:szCs w:val="31"/>
          <w:lang w:eastAsia="zh-Hans" w:bidi="ar"/>
        </w:rPr>
        <w:t>年</w:t>
      </w:r>
      <w:r>
        <w:rPr>
          <w:rFonts w:hint="eastAsia" w:ascii="仿宋" w:hAnsi="仿宋" w:eastAsia="仿宋" w:cs="仿宋"/>
          <w:color w:val="000000"/>
          <w:kern w:val="0"/>
          <w:sz w:val="31"/>
          <w:szCs w:val="31"/>
          <w:lang w:bidi="ar"/>
        </w:rPr>
        <w:t>1</w:t>
      </w:r>
      <w:r>
        <w:rPr>
          <w:rFonts w:hint="eastAsia" w:ascii="仿宋" w:hAnsi="仿宋" w:eastAsia="仿宋" w:cs="仿宋"/>
          <w:color w:val="000000"/>
          <w:kern w:val="0"/>
          <w:sz w:val="31"/>
          <w:szCs w:val="31"/>
          <w:lang w:eastAsia="zh-Hans" w:bidi="ar"/>
        </w:rPr>
        <w:t>月</w:t>
      </w:r>
      <w:r>
        <w:rPr>
          <w:rFonts w:hint="eastAsia" w:ascii="仿宋" w:hAnsi="仿宋" w:eastAsia="仿宋" w:cs="仿宋"/>
          <w:color w:val="000000"/>
          <w:kern w:val="0"/>
          <w:sz w:val="31"/>
          <w:szCs w:val="31"/>
          <w:lang w:bidi="ar"/>
        </w:rPr>
        <w:t>27</w:t>
      </w:r>
      <w:r>
        <w:rPr>
          <w:rFonts w:hint="eastAsia" w:ascii="仿宋" w:hAnsi="仿宋" w:eastAsia="仿宋" w:cs="仿宋"/>
          <w:color w:val="000000"/>
          <w:kern w:val="0"/>
          <w:sz w:val="31"/>
          <w:szCs w:val="31"/>
          <w:lang w:eastAsia="zh-Hans" w:bidi="ar"/>
        </w:rPr>
        <w:t>日</w:t>
      </w:r>
      <w:r>
        <w:rPr>
          <w:rFonts w:hint="eastAsia" w:ascii="仿宋" w:hAnsi="仿宋" w:eastAsia="仿宋" w:cs="仿宋"/>
          <w:color w:val="000000"/>
          <w:kern w:val="0"/>
          <w:sz w:val="31"/>
          <w:szCs w:val="31"/>
          <w:lang w:val="en-US" w:eastAsia="zh-CN" w:bidi="ar"/>
        </w:rPr>
        <w:t xml:space="preserve">            </w:t>
      </w: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NEU-B3">
    <w:altName w:val="宋体"/>
    <w:panose1 w:val="00000000000000000000"/>
    <w:charset w:val="86"/>
    <w:family w:val="script"/>
    <w:pitch w:val="default"/>
    <w:sig w:usb0="00000000" w:usb1="00000000" w:usb2="000A005E" w:usb3="00000000" w:csb0="003C0041" w:csb1="00000000"/>
  </w:font>
  <w:font w:name="方正楷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NEU-FZ">
    <w:altName w:val="宋体"/>
    <w:panose1 w:val="00000000000000000000"/>
    <w:charset w:val="86"/>
    <w:family w:val="script"/>
    <w:pitch w:val="default"/>
    <w:sig w:usb0="00000000" w:usb1="00000000" w:usb2="000A005E" w:usb3="00000000" w:csb0="003C0041" w:csb1="00000000"/>
  </w:font>
  <w:font w:name="方正黑体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89F8D9"/>
    <w:multiLevelType w:val="singleLevel"/>
    <w:tmpl w:val="2589F8D9"/>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66AB5"/>
    <w:rsid w:val="021F14AF"/>
    <w:rsid w:val="03272E4F"/>
    <w:rsid w:val="0CBC5965"/>
    <w:rsid w:val="0EF92D35"/>
    <w:rsid w:val="113363D9"/>
    <w:rsid w:val="137562A9"/>
    <w:rsid w:val="1B997940"/>
    <w:rsid w:val="1C2F5F3D"/>
    <w:rsid w:val="1D9412BC"/>
    <w:rsid w:val="2019464B"/>
    <w:rsid w:val="229D7DB8"/>
    <w:rsid w:val="259219C9"/>
    <w:rsid w:val="27F71738"/>
    <w:rsid w:val="2B025C16"/>
    <w:rsid w:val="2C221238"/>
    <w:rsid w:val="2D652882"/>
    <w:rsid w:val="2E8735AB"/>
    <w:rsid w:val="36B371D8"/>
    <w:rsid w:val="3F040BC7"/>
    <w:rsid w:val="3F7375C5"/>
    <w:rsid w:val="3FD50CAD"/>
    <w:rsid w:val="41323851"/>
    <w:rsid w:val="423E2E76"/>
    <w:rsid w:val="478359C3"/>
    <w:rsid w:val="492D456A"/>
    <w:rsid w:val="4BB9776B"/>
    <w:rsid w:val="4E800035"/>
    <w:rsid w:val="525241C2"/>
    <w:rsid w:val="52673922"/>
    <w:rsid w:val="556A79AC"/>
    <w:rsid w:val="56F34CB8"/>
    <w:rsid w:val="59AC4332"/>
    <w:rsid w:val="59C97442"/>
    <w:rsid w:val="5AF21EB3"/>
    <w:rsid w:val="5D937947"/>
    <w:rsid w:val="5F861E6F"/>
    <w:rsid w:val="627B37BC"/>
    <w:rsid w:val="62FA108C"/>
    <w:rsid w:val="640463D9"/>
    <w:rsid w:val="654F1A20"/>
    <w:rsid w:val="673378F6"/>
    <w:rsid w:val="69323604"/>
    <w:rsid w:val="6A343113"/>
    <w:rsid w:val="6D5D5D75"/>
    <w:rsid w:val="72CF4830"/>
    <w:rsid w:val="73F064B9"/>
    <w:rsid w:val="7BE63A88"/>
    <w:rsid w:val="7C7458CA"/>
    <w:rsid w:val="7FE432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黑体"/>
      <w:kern w:val="0"/>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jc w:val="left"/>
    </w:pPr>
    <w:rPr>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小标宋3"/>
    <w:basedOn w:val="1"/>
    <w:qFormat/>
    <w:uiPriority w:val="0"/>
    <w:pPr>
      <w:widowControl/>
      <w:jc w:val="center"/>
    </w:pPr>
    <w:rPr>
      <w:rFonts w:ascii="方正小标宋_GBK" w:hAnsi="方正小标宋_GBK" w:eastAsia="方正小标宋_GBK" w:cstheme="minorBidi"/>
      <w:color w:val="000000"/>
      <w:kern w:val="0"/>
      <w:sz w:val="42"/>
      <w:szCs w:val="42"/>
    </w:rPr>
  </w:style>
  <w:style w:type="paragraph" w:customStyle="1" w:styleId="9">
    <w:name w:val="楷体中1"/>
    <w:basedOn w:val="1"/>
    <w:qFormat/>
    <w:uiPriority w:val="0"/>
    <w:pPr>
      <w:widowControl/>
      <w:jc w:val="center"/>
    </w:pPr>
    <w:rPr>
      <w:rFonts w:ascii="NEU-B3" w:hAnsi="NEU-B3" w:eastAsia="方正楷体_GBK" w:cstheme="minorBidi"/>
      <w:color w:val="000000"/>
      <w:kern w:val="0"/>
      <w:sz w:val="32"/>
      <w:szCs w:val="32"/>
    </w:rPr>
  </w:style>
  <w:style w:type="paragraph" w:customStyle="1" w:styleId="10">
    <w:name w:val="[基本段落]"/>
    <w:basedOn w:val="1"/>
    <w:qFormat/>
    <w:uiPriority w:val="0"/>
    <w:pPr>
      <w:widowControl/>
      <w:ind w:firstLine="200" w:firstLineChars="200"/>
      <w:jc w:val="left"/>
    </w:pPr>
    <w:rPr>
      <w:rFonts w:ascii="Times New Roman" w:hAnsi="Times New Roman" w:eastAsia="仿宋_GB2312" w:cstheme="minorBidi"/>
      <w:color w:val="000000"/>
      <w:kern w:val="0"/>
      <w:sz w:val="32"/>
      <w:szCs w:val="32"/>
    </w:rPr>
  </w:style>
  <w:style w:type="paragraph" w:customStyle="1" w:styleId="11">
    <w:name w:val="黑体"/>
    <w:basedOn w:val="1"/>
    <w:qFormat/>
    <w:uiPriority w:val="0"/>
    <w:pPr>
      <w:widowControl/>
      <w:ind w:firstLine="200" w:firstLineChars="200"/>
      <w:jc w:val="left"/>
    </w:pPr>
    <w:rPr>
      <w:rFonts w:ascii="NEU-FZ" w:hAnsi="NEU-FZ" w:eastAsia="方正黑体简体" w:cstheme="minorBidi"/>
      <w:color w:val="000000"/>
      <w:kern w:val="0"/>
      <w:sz w:val="32"/>
      <w:szCs w:val="32"/>
    </w:rPr>
  </w:style>
  <w:style w:type="paragraph" w:customStyle="1" w:styleId="12">
    <w:name w:val="楷体-左"/>
    <w:basedOn w:val="1"/>
    <w:qFormat/>
    <w:uiPriority w:val="0"/>
    <w:pPr>
      <w:widowControl/>
      <w:ind w:firstLine="200" w:firstLineChars="200"/>
      <w:jc w:val="left"/>
    </w:pPr>
    <w:rPr>
      <w:rFonts w:ascii="Times New Roman" w:hAnsi="Times New Roman" w:eastAsia="方正楷体_GBK" w:cstheme="minorBidi"/>
      <w:b/>
      <w:color w:val="000000"/>
      <w:kern w:val="0"/>
      <w:sz w:val="32"/>
      <w:szCs w:val="32"/>
    </w:rPr>
  </w:style>
  <w:style w:type="character" w:customStyle="1" w:styleId="13">
    <w:name w:val="楷体-条"/>
    <w:qFormat/>
    <w:uiPriority w:val="0"/>
    <w:rPr>
      <w:rFonts w:hint="default" w:ascii="Times New Roman" w:hAnsi="Times New Roman" w:eastAsia="楷体_GB2312"/>
      <w:b/>
      <w:color w:val="000000"/>
      <w:sz w:val="32"/>
      <w:szCs w:val="32"/>
    </w:rPr>
  </w:style>
  <w:style w:type="paragraph" w:customStyle="1" w:styleId="14">
    <w:name w:val="小标宋2"/>
    <w:basedOn w:val="1"/>
    <w:qFormat/>
    <w:uiPriority w:val="0"/>
    <w:pPr>
      <w:widowControl/>
      <w:jc w:val="center"/>
    </w:pPr>
    <w:rPr>
      <w:rFonts w:ascii="方正小标宋_GBK" w:hAnsi="方正小标宋_GBK" w:eastAsia="方正小标宋_GBK" w:cstheme="minorBidi"/>
      <w:color w:val="000000"/>
      <w:kern w:val="0"/>
      <w:sz w:val="42"/>
      <w:szCs w:val="4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李飞周</cp:lastModifiedBy>
  <dcterms:modified xsi:type="dcterms:W3CDTF">2022-02-16T05:28:00Z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10A9ED18F2EE4ACE86417C93BFB93C5B</vt:lpwstr>
  </property>
</Properties>
</file>